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448 vom 13. Juli 2012</w:t>
      </w:r>
    </w:p>
    <w:p>
      <w:r>
        <w:t>VD Tribunal cantonal, 2012-07-13, FR</w:t>
      </w:r>
    </w:p>
    <w:p>
      <w:r>
        <w:rPr>
          <w:b/>
        </w:rPr>
        <w:t xml:space="preserve">Quelle: </w:t>
      </w:r>
      <w:r>
        <w:t>https://mcp.opencaselaw.ch/entscheid/vd_findinfo_HC___2012___448</w:t>
      </w:r>
    </w:p>
    <w:p>
      <w:r>
        <w:t>FR: VD_FINDINFO HC / 2012 / 448 du 13 juillet 2012</w:t>
      </w:r>
    </w:p>
    <w:p>
      <w:r>
        <w:t>IT: VD_FINDINFO HC / 2012 / 448 del 13 luglio 2012</w:t>
      </w:r>
    </w:p>
    <w:p>
      <w:pPr>
        <w:pStyle w:val="Heading2"/>
      </w:pPr>
      <w:r>
        <w:t>Regeste</w:t>
      </w:r>
    </w:p>
    <w:p>
      <w:r>
        <w:t>EXPULSION DE LOCATAIRE | 257d CO, 257 CPC (CH)</w:t>
      </w:r>
    </w:p>
    <w:p>
      <w:pPr>
        <w:pStyle w:val="Heading2"/>
      </w:pPr>
      <w:r>
        <w:t>Erwägungen</w:t>
      </w:r>
    </w:p>
    <w:p>
      <w:r>
        <w:rPr>
          <w:b/>
        </w:rPr>
        <w:t>E. 1</w:t>
      </w:r>
    </w:p>
    <w:p>
      <w:r>
        <w:t>a) Le litige porte sur le bien-fondé d’une ordonnance rejetant la requête d’expulsion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I’annulabilité d’une résiliation (JT 2011 III 83; TF 4A_634/2009 du 3 mars 2010 c. 1.1; SJ 2001 I 17 c. 1a; ATF 119 II 147 c. 1). En l'espèce, le loyer mensuel s'élevant à 911 fr., la valeur litigieuse est supérieure à 10'000 fr., de sorte que la voie de l'appel est ouverte (art. 308 al. 2 CPC). b) Lorsque la décision attaquée a été rendue en procédure sommaire, le délai d’appel est de dix jours (art. 314 al. 1 CPC). Interjeté en temps utile par une partie qui y a intérêt (art. 59 al. 2 let. a CPC), l’appel est recevable</w:t>
      </w:r>
    </w:p>
    <w:p>
      <w:r>
        <w:rPr>
          <w:b/>
        </w:rPr>
        <w:t>E. 2</w:t>
      </w:r>
    </w:p>
    <w:p>
      <w:r>
        <w:t>a) L’appel est une voie de droit offrant à l’autorité de deuxième instance un plein pouvoir d’examen (Jeandin, CPC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e éd., Berne 2010, n. 2399, p. 435). L’autorité d’appel applique le droit d’office : elle n’est pas liée par les motifs invoqués par les parties ou par le tribunal de première instance (HohI, op. cit., n. 2396, p. 435; Spühler, Basler Kommentar, Schweizerische Zivilprozessordnung, 2010, n. 1 ad art. 310 CPC, p. 1489). En l'espèce, l’état de fait de l’ordonnance attaquée, complété sur la base des pièces au dossier de première instance, est suffisant pour permettre à la cour de céans de statuer sur le fond.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Dans le cas particulier, la bailleresse a produit deux décomptes débiteurs/créditeurs dans son mémoire de réponse du 6 juillet 2012. Celui daté du 10 octobre 2011 est irrecevable, dès lors qu'il aurait pu être produit en première instance. En revanche, il sera tenu compte de celui daté du 27 mars 2012, déjà produit lors de l'audience en procédure sommaire du même jour.</w:t>
      </w:r>
    </w:p>
    <w:p>
      <w:r>
        <w:rPr>
          <w:b/>
        </w:rPr>
        <w:t>E. 3</w:t>
      </w:r>
    </w:p>
    <w:p>
      <w:r>
        <w:t>a) Selon l'art. 257d al. 1 CO,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b) Selon la jurisprudence,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CdB 2009 p. 8; TF 4A_299/2011 du 7 juin 2011 c.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in CdB 2000, pp. 107 ss, spéc. p. 109; TF 4A_641/2011 du 27 janvier 2012 c. 5; Lachat, Le bail à loyer, Lausanne 2008, p. 666). Si le bailleur a des créances qui ne permettent pas l’application de cet article et d’autres qui la permettent, son courrier doit les distinguer de manière précise, de sorte que le locataire puisse reconnaître sans difficulté les dettes à éteindre pour éviter la résiliation du bail (Lachat, op. cit., p. 666; CACI 30 mai 2011/97; CREC I 25 mars 2010/151). c) Le congé donné en application de l’art. 257d CO est nul lorsque le locataire a payé l’arriéré de loyer dans le délai comminatoire de 30 jours (Lachat, op. cit., p. 671). La nullité vaut a fortiori lorsque le locataire était à jour dans le paiement de ses loyers lorsqu’il a reçu l’avis comminatoire (CREC I 14 juin 2010/317). Dans un arrêt de principe rendu à cinq juges, la Chambre des recours a jugé inefficace le congé qui repose sur une mise en demeure portant sur un montant disproportionné par rapport au loyer effectivement dû (du simple au double). La Chambre des recours a motivé cette solution par le fait que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18 janvier 2006/89 c. 3). Dans un autre arrêt de principe rendu à cinq juges, la Chambre des recours a précisé, sans la modifier, sa jurisprudence en ce sens qu’il n’était pas arbitraire de considérer qu’une sommation portant sur un montant dépassant de 50 % le loyer effectivement dû n’entraînait pas l’inefficacité du congé mais qu’elle pourrait le rendre abusif au sens des art. 271 ss CO, le locataire étant alors dans l’obligation de contester celui-ci dans le délai de l’art. 273 al. 1 CO sous peine de forclusion (CREC I 3 septembre 2010/457 c. 4) Il en va de même a fortiori d’une disproportion du simple au triple (CACI 2 janvier 2012/1). d) Le solde de décompte de chauffage et d’eau chaude peut faire l’objet de la mise en demeure de l’art. 257d al. 1 CO. Tel n’est cependant pas le cas, selon Lachat (op.cit., p. 664), lorsque le locataire n’a pas reçu un décompte détaillé ou s’est vu refuser la consultation des pièces justificatives originales, ou bien lorsque le solde du décompte fait l’objet d’une contestation de la part du locataire avant la commination. En tout état de cause, l’examen du bien-fondé du décompte de chauffage et d’eau chaude ne peut en principe pas intervenir dans le cadre d’une procédure en cas clair de l’art. 257 CPC (Colombini, Condensé de la jurisprudence fédérale et vaudoise dès 2009 en matière de congé donné en raison du défaut de paiement du loyer [art. 257d CO], JT 2012 III 42 n. 11).</w:t>
      </w:r>
    </w:p>
    <w:p>
      <w:r>
        <w:rPr>
          <w:b/>
        </w:rPr>
        <w:t>E. 4</w:t>
      </w:r>
    </w:p>
    <w:p>
      <w:r>
        <w:t>L’appelant soutient qu'il a versé, pour la période du 1 er avril au 31 octobre 2011 une somme totale de 6’300 fr. et qu'il a ainsi réglé les loyers réclamés dans le délai comminatoire. En l’espèce, la commination du 11 octobre 2011 portait sur le montant de 3’488 fr. 20, selon le détail suivant : - 2’733 fr. à titre de loyers pour la période du 1 er août au 31 octobre 2011; - 427 fr. 40 à titre de supplément pour frais de chauffage/accessoires pour la période du 1 er juillet 2008 au 30 juin 2009; - 327 fr. 80 à titre de supplément pour frais de chauffage/accessoires pour la période du 1 er juillet 2009 au 30 juin 2010. Il ressort des pièces produites par l’appelant en première instance que celui-ci a versé le loyer du mois d'août 2011 le 3 août 2011 et celui du mois d'octobre 2011 le 8 octobre 2011 (pièces 5). Les décomptes de frais de chauffage/accessoires des années 2008-2009 et 2009-2010 ont également été contestés, le locataire demandant que les décomptes de chauffage détaillés avec copies des pièces justificatives lui soient adressés (cf. supra, let. C, ch. 2), sans qu’il soit établi qu'il ait pu avoir accès à ces pièces. Dès lors que ces décomptes ne pouvaient faire l’objet de l’avis comminatoire selon la doctrine précitée, il y a lieu d'en déduire que seul le loyer de septembre 2011 n’a pas été réglé. Il apparaît par conséquent que la commination portait en l’espèce sur un montant disproportionné par rapport aux montants effectivement dus au sens de la jurisprudence susmentionnée (3'488 fr. 20 au lieu de 911 fr.), de sorte que le congé apparaît nul. Certes, la bailleresse se prévaut d’un relevé débiteurs/créditeurs dont il résulterait que le locataire se serait acquitté de manière irrégulière de son loyer depuis le début de l’année 2009. Elle fait valoir en particulier que, pour l’année 2011, seuls sept loyers ont été payés pour la période du 1 er janvier au 31 octobre 2011. Or, ce relevé, établi unilatéralement par la bailleresse, ne fait pas une preuve suffisante de la réalité et de la quotité de ces arriérés. Il résulte en particulier des copies des récépissés de versement produits par l’appelant que celui-ci a viré en 2011 les montants de 880 fr. le 5.1.2011, le 4.2.2011, le 5.4.2011 et le 5.5.2011, ainsi que les montants de 911 fr. le 5.4.2011, le 4.5.11, le 10.6.2011, le 3.8.2011 et le 8.10.2011 (pièces 5, 5A et 5B). Ainsi, au jour de la commination, l’appelant avait versé neuf loyers et non sept, comme l’affirme l’intimée. Si l’on devait tenir compte d’arriérés antérieurs à 2011, force est de constater que la commination, qui porte sur les mois d’août à octobre 2011, ne serait pas suffisamment claire au sens de la jurisprudence citée au c. 3b. Le locataire ne pouvait se voir imposer la justification du paiement de tous les loyers déjà échus depuis 2009, sous prétexte que certains d’entre eux n’auraient, selon le bailleur, pas été réglés, sans que ce dernier n’en fasse état dans la commination. A tout le moins découle-t-il de ce qui précède que l’on ne se trouve pas en présence d’un cas clair au sens de l’art. 257 CPC.</w:t>
      </w:r>
    </w:p>
    <w:p>
      <w:r>
        <w:rPr>
          <w:b/>
        </w:rPr>
        <w:t>E. 5</w:t>
      </w:r>
    </w:p>
    <w:p>
      <w:r>
        <w:t>Il s'ensuit que l'appel doit être admis et qu'il doit être statué à nouveau (art. 318 al. 1 let. b CPC) en ce sens que la requête déposée le 30 janvier 2012 par la bailleresse est irrecevable, que les frais judiciaires sont fixés à 240 fr. et mis à la charge de la bailleresse et qu'il n'est alloué aucun dépens. Les frais judiciaires de deuxième instance sont arrêtés à 200 fr. (art. 62 al. 3 et 69 al. 1 TFJC [tarif des frais judiciaires civils du 28 septembre 2010; RSV 270.11.5]) et mis à la charge de l'intimée, qui succombe (art. 106 al. 1 CPC). L'intimée doit verser à l'appelant la somme de 200 fr. à titre de restitution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