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443 vom 3. Juli 2012</w:t>
      </w:r>
    </w:p>
    <w:p>
      <w:r>
        <w:t>VD Tribunal cantonal, 2012-07-03, FR</w:t>
      </w:r>
    </w:p>
    <w:p>
      <w:r>
        <w:rPr>
          <w:b/>
        </w:rPr>
        <w:t xml:space="preserve">Quelle: </w:t>
      </w:r>
      <w:r>
        <w:t>https://mcp.opencaselaw.ch/entscheid/vd_findinfo_HC___2012___443</w:t>
      </w:r>
    </w:p>
    <w:p>
      <w:r>
        <w:t>FR: VD_FINDINFO HC / 2012 / 443 du 3 juillet 2012</w:t>
      </w:r>
    </w:p>
    <w:p>
      <w:r>
        <w:t>IT: VD_FINDINFO HC / 2012 / 443 del 3 luglio 2012</w:t>
      </w:r>
    </w:p>
    <w:p>
      <w:pPr>
        <w:pStyle w:val="Heading2"/>
      </w:pPr>
      <w:r>
        <w:t>Regeste</w:t>
      </w:r>
    </w:p>
    <w:p>
      <w:r>
        <w:t>PROTECTION DE L'UNION CONJUGALE, LOGEMENT DE LA FAMILLE, DROIT DE GARDE | 176 al. 1 ch. 2 CC, 176 al. 1 ch. 3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suisse du 19 décembre 2008, RS 272 ; Tappy, Les voies de droit du nouveau Code de procédure civile, in JT 2010 III 115, spéc. p. 121), dans les causes exclusivement patrimoniales pour autant que la valeur litigieuse au dernier état des conclusions devant l’autorité précédente soit de 10'000 fr. au moins. En présence d’une ordonnance cumulant des conclusions non patrimoniales et des conclusions patrimoniales inférieures à 10'000 fr., l’appel est recevable pour le tout, pour autant que les conclusions non patrimoniales restent litigieuses et ne paraissent pas secondaires (Tappy, op. cit., p. 126).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Formés en temps utile par des parties qui y ont intérêt (art. 59 al. 2 let. a CPC) et portant en partie sur des conclusions non patrimoniales qui ne sont pas nouvelles, les appels sont tous deux recevables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 b) 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 Tappy, op. cit., p. 140). Cette limitation ne vaut pas lorsque la maxime d’office est applicable, les conclusions des parties n’étant que des propositions qui ne lient pas le juge (Reetz/Hilber, in Kommentar zur Schweizerischen Zivilprozessordnung (ZPO), Zurich 2010, n. 76 ad art. 317 CPC ; HohI, Procédure civile, tome Il, 2 e éd., Berne 2010, nn. 2090 à 2092). En l’espèce, peu importe les conclusions prises, dès lors que les parties sont les parents d’un enfant mineur et que leurs conclusions ne lient donc pas le juge ; la maxime d’office est applicable (art. 296 al. 3 CPC ; Jeandin, in CPC commenté, Bâle 2011, n. 14 ad art. 296 CPC).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par exemple sur la situation des enfants mineurs en droit matrimonial (Jeandin, op. cit., n. 5 ad art. 296 CPC et les réf. citées ; HohI, op. cit., n. 2415, p. 438 ; JT 2011 III 43). En matière de mesures protectrices de l’union conjugale, la maxime inquisitoire est applicable dans tous les cas (TF 5A_361/2011 du 7 décembre 2011 c. 5, in RSPC 3/2012, n. 1145, pp. 196 ss). Les pièces nouvelles produites en deuxième instance sont ainsi recevables ; elles ont ainsi été prises en compte dans l’établissement des faits dans la mesure où elles étaient utiles à l’examen de la cause.</w:t>
      </w:r>
    </w:p>
    <w:p>
      <w:r>
        <w:rPr>
          <w:b/>
        </w:rPr>
        <w:t>E. 3</w:t>
      </w:r>
    </w:p>
    <w:p>
      <w:r>
        <w:t>a) L’appelant requiert que la garde de l’enfant E.________, âgée d’un peu plus de 3 ans, lui soit attribuée, avec un libre droit de visite accordé à la mère ; il requiert également la jouissance de l’appartement conjugal. L’appelant fait valoir en substance que l’intimée ne privilégierait pas l’intérêt de sa fille et qu’elle aurait créé artificiellement un climat de tensions délétère, allant jusqu’à « arracher sa fille du domicile conjugal » pour aller vivre temporairement dans un appartement d’une pièce et demie ne comportant qu’un seul lit. b) aa)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 il peut notamment confier l'autorité parentale à un seul des parents (art. 297 al. 2 CC) ou, à plus forte raison, lui attribuer la garde des enfants. Les principes posés par la jurisprudence et la doctrine en matière de divorce sont applicables par analogie (Bräm, in Zürcher Kommentar, 2 e éd., Zurich 1998, nn. 89 et 101 ad art. 176 CC ; Chaix, in Commentaire Romand, Code civil I, Bâle 2010, n. 19 ad art. 176 CC ; TF 5A_693/2007 du 18 février 2008 ; TF 5A_69/2011 du 27 février 2012 c. 2.1).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(ATF 136 I 178 c. 5.3 ; ATF 117 lI 353 c. 3 ; ATF 115 Il 206 c. 4a et 317 c. 2 ; FamPra.ch 2006, n. 20, p. 193 ; FamPra.ch 2008, n. 104, p. 981). Dans le but d’assurer aux enfants une stabilité et un développement harmonieux, on privilégiera le maintien du modèle de mariage adopté par les époux du temps de la vie commune. La garde sera ainsi attribuée de préférence à l’époux qui consacrait le plus de son temps à l’éducation et aux soins des enfants. Une garde alternée n’est envisageable que si les parents sont d’accord et ont pris toutes les mesures pour régler les aspects pratiques de manière à préserver le bien de l’enfant (Chaix, op. cit., n. 19 ad art. 176 CC ; Juge délégué CACI 20 décembre 2011/411). La jurisprudence a longtemps admis qu’un enfant très jeune avait besoin de l’amour maternel et que ce critère devait être pris en compte pour l’attribution de la garde (ATF 85 II 226, JT 1960 I 508). La jurisprudence tend désormais à écarter  toute préférence naturelle en faveur de la mère, même pour les enfants en bas âge (Leuba/Bastons Bulletti, in Commentaire Romand, Code civil I, n. 9 ad art. 133 CC et les réf. citées) ou du moins à accorder à ce critère un caractère très relatif, le critère décisif étant celui de l'aptitude des parents concernés (Meier/Stettler, Droit de la filiation, 4 e éd., n. 452, p. 287). Lorsque l’aptitude et les disponibilités des deux parents sont équivalentes, il peut toutefois se justifier de continuer à prendre en compte, à titre subsidiaire, le critère du lien maternel, même si celui-ci a perdu de l’importance (CACI</w:t>
      </w:r>
    </w:p>
    <w:p>
      <w:r>
        <w:rPr>
          <w:b/>
        </w:rPr>
        <w:t>E. 5</w:t>
      </w:r>
    </w:p>
    <w:p>
      <w:r>
        <w:t>juillet 2012 Le dispositif de l'arrêt qui précède est communiqué par écrit aux intéressés. Le greffier : Du L'arrêt qui précède, dont la rédaction a été approuvée à huis clos, est notifié en expédition complète, par l'envoi de photocopies, à : ‑ Me Ana Rita Perez (pour A.B.________) ‑ Me Alain Dubuis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