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436 vom 6. Juli 2012</w:t>
      </w:r>
    </w:p>
    <w:p>
      <w:r>
        <w:t>VD Tribunal cantonal, 2012-07-06, FR</w:t>
      </w:r>
    </w:p>
    <w:p>
      <w:r>
        <w:rPr>
          <w:b/>
        </w:rPr>
        <w:t xml:space="preserve">Quelle: </w:t>
      </w:r>
      <w:r>
        <w:t>https://mcp.opencaselaw.ch/entscheid/vd_findinfo_HC___2012___436</w:t>
      </w:r>
    </w:p>
    <w:p>
      <w:r>
        <w:t>FR: VD_FINDINFO HC / 2012 / 436 du 6 juillet 2012</w:t>
      </w:r>
    </w:p>
    <w:p>
      <w:r>
        <w:t>IT: VD_FINDINFO HC / 2012 / 436 del 6 luglio 2012</w:t>
      </w:r>
    </w:p>
    <w:p>
      <w:pPr>
        <w:pStyle w:val="Heading2"/>
      </w:pPr>
      <w:r>
        <w:t>Regeste</w:t>
      </w:r>
    </w:p>
    <w:p>
      <w:r>
        <w:t>DÉCISION D'IRRECEVABILITÉ, DOMMAGE IRRÉPARABLE, SUSPENSION DE LA PROCÉDURE, DISPENSE | 319 let. b ch. 2 CPC (CH)</w:t>
      </w:r>
    </w:p>
    <w:p>
      <w:pPr>
        <w:pStyle w:val="Heading2"/>
      </w:pPr>
      <w:r>
        <w:t>Erwägungen</w:t>
      </w:r>
    </w:p>
    <w:p>
      <w:r>
        <w:rPr>
          <w:b/>
        </w:rPr>
        <w:t>E. 1</w:t>
      </w:r>
    </w:p>
    <w:p>
      <w:r>
        <w:t>a) Il convient en premier lieu d’examiner la recevabilité du recours au regard de l’art. 319 CPC (Code de procédure civile du 19 décembre 2008, RS 272). Cette disposition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contre une ordonnance de suspension de la procédure est un cas prévu par la loi au sens de l'art. 319 let. b ch. 1 CPC (art. 126 al. 2 CPC). Toutefois, en l'espèce, la recourante ne remet pas en cause la suspension de la procédure ordonnée par le premier juge mais la dispense de comparution personnelle de l'intimée, rendue en application de l'art. 204 al. 3 CPC. Dès lors, la recevabilité du recours ne doit pas être examinée sous l'angle des art. 126 al. 2 et 319 let. b ch. 1 CPC, mais en application de l'art. 319 let. b ch. 2 CPC qui présuppose l'existence d'un préjudice difficilement réparable pour les "autres décisions".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La doctrine précise que cette notion ne vise pas uniquement un inconvénient de nature juridique, mais toute incidence dommageable (y compris financière ou temporelle) pourvu qu'elle soit difficilement réparable, la notion devant toutefois être interprétée de manière exigeante voire restrictive, sous peine d'ouvrir le recours à toute décision ou ordonnance d'instruction, ce que le législateur a clairement exclu (Jeandin, CPC Commenté, Bâle 2011, n. 22 ad art. 319 CPC, p. 1274 et les références; CREC 22 mars 2012/117). b) La recourante estime que le premier juge a violé son droit d'être entendue en ne lui donnant pas la possibilité de se déterminer sur le certificat produit par l'intimée. La constatation que celle-ci est domiciliée à Dubaï serait susceptible, selon la recourante, de compromettre l'avancement du procès à Singapour, l'intimée pouvant prétendre ne pas être domiciliée à Londres, où les autorités singapouriennes ont été en mesure de lui notifier un acte. Cette situation exposerait la recourante à un préjudice irréparable. Dans la décision attaquée, le premier juge a suspendu la procédure de conciliation jusqu'à droit connu sur la procédure introduite à Singapour – ce qui n'est pas remis en cause – et a dispensé l'intimée de comparaître à l'audience de conciliation, considérant qu'elle était domiciliée à l'étranger. On ne voit pas en quoi cette décision expose la recourante à un préjudice difficilement réparable, en particulier dans le cadre de l'action en validation du séquestre ouverte en Suisse. Au demeurant, le fait qu'il soit constaté dans le corps de la décision attaquée que l'intimée est domiciliée à Dubaï est sans portée, ce d'autant moins que l'intimée n'a nul besoin de cette constatation pour prétendre, dans la procédure ouverte à Singapour, qu'elle est domiciliée ailleurs qu'à Londres. Concernant la violation de l'art 29 al. 2 Cst, il sied de donner acte à la recourante que le premier juge devait, avant de rendre la décision attaquée, interpeller les parties sur le document fourni par l'intimée, comme il s'y était engagé durant l'audience de conciliation. En omettant de le faire, il a violé le droit d'être entendue de la recourante. Toutefois, selon celle-ci, la procédure de conciliation ouverte auprès de la Chambre patrimoniale cantonale reprendra son cours dans le cas où la décision rendue par les autorités de Singapour ne pourrait être reconnue en Suisse. La recourante aura, au moment d'une éventuelle reprise, la possibilité d'alléguer tous les éléments utiles à l'appui de sa thèse. Elle n'est en effet pas déchue de la faculté de faire valoir ses moyens dans la suite de la procédure. Nonobstant la violation de son droit d'être entendue, les conditions de recevabilité du recours ne sont en l'espèce pas remplies. Faute d’un préjudice difficilement réparable, le recours doit dès lors être déclaré irrecevable.</w:t>
      </w:r>
    </w:p>
    <w:p>
      <w:r>
        <w:rPr>
          <w:b/>
        </w:rPr>
        <w:t>E. 2</w:t>
      </w:r>
    </w:p>
    <w:p>
      <w:r>
        <w:t>Au vu de ce qui précède, le recours est déclaré irrecevable (art. 322 al. 1 CPC) et la décision querellée confirmée. Les frais judiciaires de deuxième instance, arrêtés à 2'500 fr. (art. 6 al. 3 et 69 al. 1 TFJC [Tarif du 28 septembre 2010 des frais judiciaires civils, RSV 270.11.5]) sont mis à la charge de la recourante, vu l'irrecevabilité de son recours (art. 106 al. 1 CPC). La recourante doit verser à l'intimée une somme de 1'500 fr. à titre de dépens de deuxième instance (art. 13 al. 1 TDC [Tarif des dépens en matière civile du 23 novembre 2010; RSV 270.11.6]). Par ces motifs, la Chambre des recours civile du Tribunal cantonal, statuant à huis clos, prononce : I. Le recours est irrecevable. II. Les frais judiciaires de deuxième instance, arrêtés à 2'500 fr. (deux mille cinq cents francs), sont mis à la charge de la recourante. III. La recourante Q.________LTD doit verser à l'intimée C.________ la somme de 1'500 fr. (mille cinq cents francs) à titre de dépens de deuxième instance. IV. L'arrêt motivé est exécutoire. Le président :               Le greffier : Du L'arrêt qui précède, dont la rédaction a été approuvée à huis clos, est notifié à : ‑ Me Rolf Ditesheim (pour Q.________LTD), - M. Youri Diserens, aab (pour 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