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433 vom 28. Juni 2012</w:t>
      </w:r>
    </w:p>
    <w:p>
      <w:r>
        <w:t>VD Tribunal cantonal, 2012-06-28, FR</w:t>
      </w:r>
    </w:p>
    <w:p>
      <w:r>
        <w:rPr>
          <w:b/>
        </w:rPr>
        <w:t xml:space="preserve">Quelle: </w:t>
      </w:r>
      <w:r>
        <w:t>https://mcp.opencaselaw.ch/entscheid/vd_findinfo_HC___2012___433</w:t>
      </w:r>
    </w:p>
    <w:p>
      <w:r>
        <w:t>FR: VD_FINDINFO HC / 2012 / 433 du 28 juin 2012</w:t>
      </w:r>
    </w:p>
    <w:p>
      <w:r>
        <w:t>IT: VD_FINDINFO HC / 2012 / 433 del 28 giugno 2012</w:t>
      </w:r>
    </w:p>
    <w:p>
      <w:pPr>
        <w:pStyle w:val="Heading2"/>
      </w:pPr>
      <w:r>
        <w:t>Regeste</w:t>
      </w:r>
    </w:p>
    <w:p>
      <w:r>
        <w:t>OBLIGATION D'ENTRETIEN, RENTE D'INVALIDITÉ, REVENU HYPOTHÉTIQUE | 176 al. 1 ch. 1 CC, 308 al. 1 let. b CPC (CH), 314 al. 1 CPC (CH)</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3</w:t>
      </w:r>
    </w:p>
    <w:p>
      <w:r>
        <w:t>a) 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Les conditions restrictives posées par l’art. 317 CPC pour l’introduction de faits ou moyens de preuve nouveaux s’appliquent de même aux cas régis par la maxime inquisitoire. Une solution plus souple peut être envisagée lorsque la cause est en outre régie par la maxime d’office, par exemple sur la situation des enfants mineurs en droit matrimonial (JT 2011 III 43).</w:t>
      </w:r>
    </w:p>
    <w:p>
      <w:r>
        <w:rPr>
          <w:b/>
        </w:rPr>
        <w:t>E. 4</w:t>
      </w:r>
    </w:p>
    <w:p>
      <w:r>
        <w:t>a) L’appelante fait valoir que les indemnités journalières versées par la compagnie d'assurances jusqu’en janvier 2012 doivent continuer à être prises en considération dans le revenu de l’intimé. Elle prétend que, dès lors qu’une incapacité de travail a été constatée médicalement, l’assurance n’aurait pas dû mettre fin au versement des indemnités. Il n’est pas contesté que l’intimé ne perçoit plus les indemnités de l’assurance de perte de gain depuis février 2012. Il faut donc déterminer si de tels revenus pourraient être pris en compte à titre de revenus hypothétiques pour calculer la contribution d’entretien due en vertu de l’art. 176 al. 1 ch. 1 CC (Code civil suisse du 10 décembre 1907, RS 210). b) Même constatée médicalement, une incapacité de travail ne donne pas encore droit à une rente de l'assurance-invalidité. Pour que l'on puisse tenir compte d'une telle rente sous l'angle d'un revenu hypothétique, il faut que le droit à l'obtenir soit établi ou, à tout le moins, hautement vraisemblable (TF 5A_51/2007 du 24 octobre 2007 c. 4.3.2). c) En l’espèce, il ressort des renseignements médicaux figurant dans la décision attaquée que le taux d’activité qu’on peut exiger de l’intimé se situe autour de 70%. En outre, compte tenu de la sclérose en plaque, son rendement dans un poste d’informaticien serait diminué et pourrait se situer également autour de 70%. L’intimé a exercé jusqu’à très récemment une activité professionnelle à 60 % en qualité d’agent de contrôle des remontées mécaniques de [...]. C’est sur cette base que le premier juge a retenu que l’intimé est en mesure de réaliser au minimum un revenu net de l’ordre de 2'750 fr. Cette appréciation n’est pas critiquable et l’appelante ne démontre pas concrètement que l’intimé pourrait obtenir un salaire supérieur. Par ailleurs, il n’est pas établi que l’intimé pourrait prétendre à une rente de l’assurance-invalidité, vu le taux d’activité retenu en l’état par les médecins. Il n’y a donc pas de raison de modifier la capacité contributive retenue en première instance.</w:t>
      </w:r>
    </w:p>
    <w:p>
      <w:r>
        <w:rPr>
          <w:b/>
        </w:rPr>
        <w:t>E. 5</w:t>
      </w:r>
    </w:p>
    <w:p>
      <w:r>
        <w:t>L’appelante invoque encore des frais de garde plus élevés que ceux retenus dans la décision de première instance. Il n’y a toutefois pas lieu d’examiner ce moyen, vu le disponible de l’intimé de 85 fr. retenu selon la décision de première instance et rien ne justifiant d’entamer son minimum.</w:t>
      </w:r>
    </w:p>
    <w:p>
      <w:r>
        <w:rPr>
          <w:b/>
        </w:rPr>
        <w:t>E. 6</w:t>
      </w:r>
    </w:p>
    <w:p>
      <w:r>
        <w:t>Au vu de ce qui précède, l’appel doit être rejeté et le prononcé attaqué confirmé.</w:t>
      </w:r>
    </w:p>
    <w:p>
      <w:r>
        <w:rPr>
          <w:b/>
        </w:rPr>
        <w:t>E. 7</w:t>
      </w:r>
    </w:p>
    <w:p>
      <w:r>
        <w:t>L’appelante a sollicité l’octroi de l’assistance judiciaire. Compte tenu de la modicité de la contribution d’entretien fixée en première instance, l’on peut admettre que l’appel n’était pas dépourvu de toute chance de succès au sens de l’art. 117 let. b CPC. Par conséquent, il se justifie d’accorder l’assistance judiciaire à l’appelante dans le cadre de la procédure d’appel et de désigner Me Laure Chappaz comme conseil d’office. L’appelante versera dès lors une franchise de 50 fr. par mois, dès et y compris le 1 er août 2012, auprès du Service juridique et législatif à Lausanne (art. 5 RAJ [règlement sur l’assistance judiciaire en matière civile du 7 décembre 2010, RSV 211.02.3]). Au vu de la liste des opérations produite par le conseil de l’appelante, on peut fixer à 5 heures et 30 minutes le temps consacré par celui-ci à l’accomplissement des opérations de la procédure d’appel. Le tarif horaire de l’avocat étant de 180 fr. (art. 2 al. 1 let. a RAJ), l’indemnité due au conseil d’office de l’intimée doit être arrêtée à 1'123 fr. 20, TVA et débours compris ([5,5 x 180 fr.] + 79 fr. 20 + 50 fr. de débours et 4 fr. de TVA). Conformément à l’art. 123 al. 1 CPC, une partie est tenue de rembourser l’assistance judiciaire dès qu’elle est en mesure de le faire. Dans cette mesure, la partie est tenue au remboursement des frais judiciaires et de l’indemnité de son conseil d’office mis à la charge de l’Etat. L’appelante ayant succombé, les frais judiciaires de deuxième instance, fixés à 600 fr. (art. 65 al. 2 TFJC) sont laissés à la charge de l’Etat (art. 106 al. 1 et 122 al. 1 CPC). L’intimé n’ayant pas été invité à se déterminer, il n’y a pas lieu de lui allouer des dépens. Par ces motifs, le juge délégué de la Cour d’appel civile du Tribunal cantonal, statuant à huis clos, prononce : I. L’appel est rejeté. II. Le prononcé est confirmé. III. L’assistance judiciaire est accordée à l’appelante G.________ avec effet au 20 mai 2012 dans la procédure d’appel, Me Laure Chappaz étant désignée conseil d’office. IV. G.________ est astreinte à payer une franchise de 50 fr. (cinquante francs) dès et y compris le 1 er août 2012, à verser auprès du Service juridique et législatif à Lausanne. V. L’indemnité de Me Laure Chappaz, conseil de l’appelante, est arrêtée à 1'123 fr. 20 (mille cent vingt-trois francs et vingt centimes), TVA et débours compris. VI. Les frais judiciaires de deuxième instance de l’appelante, arrêtés à 600 fr. (six cents francs), sont laissés à la charge de l’Etat. VII. La bénéficiaire de l’assistance judiciaire est, dans la mesure de l’art. 123 CPC, tenue au remboursement des frais judiciaires et de l’indemnité à son conseil d’office mis à la charge de l’Etat. VIII. L’arrêt motivé est exécutoire. Le juge délégué : La greffière : Du 29 juin 2012 Le dispositif de l'arrêt qui précède est communiqué par écrit aux intéressés. La greffière : Du L'arrêt qui précède, dont la rédaction a été approuvée à huis clos, est notifié en expédition complète, par l'envoi de photocopies à : ‑ Me Laure Chappaz (pour G.________), ‑ M. A.N.________.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