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432 vom 16. Mai 2012</w:t>
      </w:r>
    </w:p>
    <w:p>
      <w:r>
        <w:t>VD Tribunal cantonal, 2012-05-16, FR</w:t>
      </w:r>
    </w:p>
    <w:p>
      <w:r>
        <w:rPr>
          <w:b/>
        </w:rPr>
        <w:t xml:space="preserve">Quelle: </w:t>
      </w:r>
      <w:r>
        <w:t>https://mcp.opencaselaw.ch/entscheid/vd_findinfo_HC___2012___432</w:t>
      </w:r>
    </w:p>
    <w:p>
      <w:r>
        <w:t>FR: VD_FINDINFO HC / 2012 / 432 du 16 mai 2012</w:t>
      </w:r>
    </w:p>
    <w:p>
      <w:r>
        <w:t>IT: VD_FINDINFO HC / 2012 / 432 del 16 maggio 2012</w:t>
      </w:r>
    </w:p>
    <w:p>
      <w:pPr>
        <w:pStyle w:val="Heading2"/>
      </w:pPr>
      <w:r>
        <w:t>Regeste</w:t>
      </w:r>
    </w:p>
    <w:p>
      <w:r>
        <w:t>ASSISTANCE JUDICIAIRE, AVOCAT D'OFFICE, INDEMNITÉ ÉQUITABLE | 122 al. 1 let. a CPC (CH)</w:t>
      </w:r>
    </w:p>
    <w:p>
      <w:pPr>
        <w:pStyle w:val="Heading2"/>
      </w:pPr>
      <w:r>
        <w:t>Erwägungen</w:t>
      </w:r>
    </w:p>
    <w:p>
      <w:r>
        <w:rPr>
          <w:b/>
        </w:rPr>
        <w:t>E. 1</w:t>
      </w:r>
    </w:p>
    <w:p>
      <w:r>
        <w:t>CPC contre la décision fixant l'indemnité du conseil d'office (Tappy, CPC commenté, 2011, n. 21 ad art. 122 CPC, p. 503).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Dès lors, le recours s'exerce dans les dix jours (art. 321 al. 2 CPC; CREC 23 mai 2012/188; CREC 16 avril 2012/133). Dès lors qu'il peut être tenu de rembourser l'assistance judiciaire dès qu'il est en mesure de le faire, selon l'art. 123 al. 1 CPC, le bénéficiaire de l'assistance judiciaire dispose à titre personnel d'un droit de recours contre la rémunération équitable de son conseil d'office accordée selon l'art. 122 al. 1 let. a CPC (Tappy, op. cit., n. 22 ad art. 122 CPC, p. 503).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les parties sont irrecevables dans la mesure où elles ne figurent pas déjà au dossier de première instance.</w:t>
      </w:r>
    </w:p>
    <w:p>
      <w:r>
        <w:rPr>
          <w:b/>
        </w:rPr>
        <w:t>E. 3</w:t>
      </w:r>
    </w:p>
    <w:p>
      <w:r>
        <w:t>a) La recourante fait valoir que le montant de l'indemnité litigieuse est trop élevée, compte tenu des opérations effectuées par l'intimée. Elle relève un certain nombre d'erreurs dans la liste des opérations produites, dont elle chiffre l'incidence entre 10 et 12 heures, et conteste le tarif horaire appliqué. b) 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tarif auquel s'ajoute la TVA pour autant que l'indemnité soit soumise à cet impôt (art. 2 al. 3 RAJ).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l’avocat doit toutefois bénéficier d’une marge d’appréciation suffisante pour déterminer l’importance du travail qu’exige l’affaire. c/aa) La recourante conteste que l'on puisse facturer au tarif ordinaire, les consultations qui ont eu lieu en dehors de l'étude de l'intimée. Toutefois ni le RAJ, ni un autre texte légal ne distingue selon qu'une opération a lieu dans ou hors l'étude de l'avocat d'office et une telle distinction ne se justifierait pas. L'activité de l'avocat est en effet la même et une activité en dehors de l'étude ne diminue en rien ses frais généraux. Le recours doit être rejeté sur ce point. bb) La recourante conteste la durée de 6 heures pour la rédaction du mémoire de réponse de 8 pages en la comparant au 2 heures pour la rédaction d'un procédé de 5 pages. Toutefois, il y a lieu de relever que la rédaction d'une réponse est soumise à des exigences plus strictes (cf. art. 270 CPC-VD [Code de procédure civile vaudois du 14 décembre 1966), qu'un procédé responsif en matière de mesures provisionnelles, pour lequel le CPC-VD ne prévoit aucune règle de forme. En outre, les conséquences d'une erreur dans une réponse sont plus importantes, dès lors qu'elles sont susceptibles d'influer sur le jugement au fond qui est appelé a durer et ne peut qu'être difficilement modifié par la suite, alors que les mesures provisionnelles peuvent être modifiées plus facilement et n'ont d'effet que pour la durée du procès. La responsabilité de l'avocat est en conséquence plus importante pour la rédaction d'une réponse. Enfin, les déterminations sur mesures provisionnelles sont postérieures à la réponse. Elles ont bénéficié de la connaissance du dossier acquise lors de la rédaction de la réponse. La comparaison entre le temps consacré à ces deux écritures n'est en conséquence pas pertinente et le temps invoqué par l'intimée pour la rédaction de la réponse n'apparaît pas excessif au regard de la pratique ordinaire des avocats. Le recours doit être rejeté sur ce point. cc) La recourante fait grief à l'intimée d'avoir fait figurer dans la liste des opérations un temps consacré aux audiences supérieur à la durée de celle-ci. Toutefois, comme le relève l'intimée, le travail de l'avocat justifiant une rémunération ne consiste pas uniquement à assister son client à l'audience, mais comprend les frais de déplacement, ainsi que l'assistance au client avant et après celle-ci. Les durées supplémentaires relevées par la recourante n'apparaissent à cet égard ni excessives ni superflues. Le recours doit être rejeté sur ce point. dd) La recourante fait grief à l'intimée d'avoir invoqué une durée de 50 minutes pour un simple courrier de transmission. L'intimée reconnaît une erreur de frappe, la durée à retenir étant de 5 minutes. Le recours doit être admis sur ce point et dans cette mesure. ee) La recourante conteste la durée d'une heure invoquée par l'intimée pour un entretien du 23 janvier 2012, soutenant que cet entretien n'a duré que 35 minutes. L'intimée maintient que cet entretien a duré une heure. Cette question peut toutefois demeurer indécise, vu les développement figurant au considérant ii) ci-dessous. ff) La recourante soutient ne pas avoir reçu copie un courrier du 11 mai 2007 à la Caisse de compensation pour lequel une durée de 20 minutes a été invoquée. Elle ne conteste toutefois pas l'existence de ce courrier qui est au demeurant établie par la pièce n° 1 du bordereau de l'intimée. Le recours doit être rejeté sur ce point. gg) La recourante fait valoir qu'elle ignore ce que recouvre le poste "résumé d'expertise" du 7 novembre 2012 pour lequel une durée de 70 minutes a été invoquée. L'intimée indique que ce résumé a été rédigé le 7 novembre 2011 pour simplifier la négociation avec la partie adverse. Cette opération apparaît donc justifiée. Le recours doit en conséquence être rejeté sur ce point. hh) La recourante fait valoir qu'elle a dû faire appel à des tiers dans ses recherches de documents comptables, ce qui lui a occasionné des frais de 1'250 fr., et fait grief à l'intimée d'avoir mal consulté les documents qu'elle avait en sa possession. Toutefois, le rôle du juge fixant l'indemnité de conseil d'office n'est pas de se prononcer sur la manière dont celui-ci a accompli son mandat, mais de taxer les opérations portées en compte au regard des prestations effectivement fournies par l'avocat. Le point de savoir si l'avocat d'office a commis un manquement justifiant que sa responsabilité ou celle de l'Etat soit engagée relève de la compétence du juge civil ordinaire (Pdt TC 9 mai 2012/2 c. 4b et références). Le moyen soulevé par la recourante est en conséquence irrecevable. ii) La recourante conteste le tarif horaire de 187 fr. figurant dans la liste des opérations litigieuse et s'étonne que le même tarif soit appliqué a des activités telles les mémos ne nécessitant aucunes connaissances juridiques. Il est exact que l'intimée a mentionné dans cette liste trois tarifs différents, qui s'ils avaient été appliqués aboutiraient à une indemnité globale sans TVA de 16'442 fr. 20 ([78 heures x 187 fr.] + [14 heures 25 x 125] + [50 minutes x 65 francs]). En appliquant la tarification prévue par l'art. 2 RAJ et en en réduisant la durée de travail de l'avocat de 45 minutes conformément au considérant dd) ci-dessus et des 25 minutes évoquées au considérant ee) ci-dessus, on aboutit à une indemnité de 16'516 fr. 60 ({[92 heures 25 – 1 heure 10] x 180 fr.} + {50 minutes x 110 fr.}). Le total des indemnités allouées par le premier juge dans ses décisions des 19 décembre 2008, 14 juillet 2011 et 2 mars 2012, TVA non incluse (cf art. 2 al. 1 et 3 RAJ; c. 3b ci-dessus) s'élève à 16'430 fr. 80 (6'300 + 3'000 + 7'130). Ainsi, même en appliquant ces réductions, l'indemnité globale allouée par le premier juge demeure inférieure à ce qu'aurait droit l'intimée. Au surplus le RAJ ne prévoit pas de tarification selon le type d'opération effectuée, car cela compliquerait à l'excès le calcul de l'indemnité. Le recours doit en conséquence être rejeté</w:t>
      </w:r>
    </w:p>
    <w:p>
      <w:r>
        <w:rPr>
          <w:b/>
        </w:rPr>
        <w:t>E. 4</w:t>
      </w:r>
    </w:p>
    <w:p>
      <w:r>
        <w:t>La recourante ayant bénéficié de l'assistance judiciaire dans le procès objet de l'indemnité litigieuse et son recours ne pouvant être considéré comme dénué de chances de succès, il y a lieu de lui accorder l'assistance judiciaire pour la procédure de recours, consistant dans la mise à la charge de l'Etat, sous réserve de remboursement aux conditions de l'art. 123 CPC, des frais judiciaires qui seront mis à sa charge.</w:t>
      </w:r>
    </w:p>
    <w:p>
      <w:r>
        <w:rPr>
          <w:b/>
        </w:rPr>
        <w:t>E. 5</w:t>
      </w:r>
    </w:p>
    <w:p>
      <w:r>
        <w:t>En conclusion, l'assistance judiciaire pour la procédure de recours doit être accordée à la recourante, son recours rejeté et le prononcé confirmé. Les frais judiciaires de deuxième instance, arrêtés à 200 fr. (art. 69 al. 1 et 70 al. 3 TFJC [tarif du 28 septembre 2010 des frais judiciaires civils; RSV 270.11.5]), sont, vu le rejet du recours et l'octroi de l'assistance judiciaire mis à la charge de l'Etat (art. 106 et 122 CPC). Il n'y a pas lieu d'allouer de dépens de deuxième instance à l'intimée dès lors que celle-ci a agi pour son compte personnel et que les conditions de l'art. 95 al. 3 let. c CPC ne sont pas réalisées. Par ces motifs, la Chambre des recours civile du Tribunal cantonal, statuant à huis clos, prononce : I. Le recours est rejeté. II.              Le prononcé est confirmé. III.              La requête d'assistance judiciaire de la recourante A.Z.________ est admise et le bénéfice de l'assistance judiciaire est accordé dans la mesure suivante : - exonération des frais judiciaires. IV.              Les frais judiciaires de deuxième instance, arrêtés à 200 fr. (deux cents francs), sont laissés à la charge de l'Etat. V.              La bénéficiaire de l'assistance judiciaire est, dans la mesure de l'art. 123 CPC, tenue au remboursement des frais judiciaires mis à la charge de l'Etat. VI.              Il n'est pas alloué de dépens de deuxième instance. VII.              L'arrêt motivé est exécutoire. Le président :               Le greffier : Du 21 mai 2012 Le dispositif de l'arrêt qui précède est communiqué par écrit aux intéressés. Le greffier : Du L'arrêt qui précède, dont la rédaction a été approuvée à huis clos, est notifié en expédition complète, par l'envoi de photocopies, à : ‑ Mme A.Z.________, ‑ 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