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430 vom 14. Juni 2012</w:t>
      </w:r>
    </w:p>
    <w:p>
      <w:r>
        <w:t>VD Tribunal cantonal, 2012-06-14, FR</w:t>
      </w:r>
    </w:p>
    <w:p>
      <w:r>
        <w:rPr>
          <w:b/>
        </w:rPr>
        <w:t xml:space="preserve">Quelle: </w:t>
      </w:r>
      <w:r>
        <w:t>https://mcp.opencaselaw.ch/entscheid/vd_findinfo_HC___2012___430</w:t>
      </w:r>
    </w:p>
    <w:p>
      <w:r>
        <w:t>FR: VD_FINDINFO HC / 2012 / 430 du 14 juin 2012</w:t>
      </w:r>
    </w:p>
    <w:p>
      <w:r>
        <w:t>IT: VD_FINDINFO HC / 2012 / 430 del 14 giugno 2012</w:t>
      </w:r>
    </w:p>
    <w:p>
      <w:pPr>
        <w:pStyle w:val="Heading2"/>
      </w:pPr>
      <w:r>
        <w:t>Regeste</w:t>
      </w:r>
    </w:p>
    <w:p>
      <w:r>
        <w:t>ACTION EN DIVORCE, OBLIGATION D'ENTRETIEN, CONJOINT | 125 CC</w:t>
      </w:r>
    </w:p>
    <w:p>
      <w:pPr>
        <w:pStyle w:val="Heading2"/>
      </w:pPr>
      <w:r>
        <w:t>Erwägungen</w:t>
      </w:r>
    </w:p>
    <w:p>
      <w:r>
        <w:rPr>
          <w:b/>
        </w:rPr>
        <w:t>E. 1</w:t>
      </w:r>
    </w:p>
    <w:p>
      <w:r>
        <w:t>a) Le jugement attaqué a été rendu le 23 janvier 2012, de sorte que les voies de droit sont régies par le CPC (Code de procédure civile suisse du 19 décembre 2008, RS 272), entré en vigueur le 1 er janvier 2011 (art. 405 al. 1 CPC ; ATF 137 III 127 ; ATF 137 III 130 ; Tappy, in CPC commenté, Bâle 2011, nn. 5 ss ad art. 405 CPC). Cela étant, le contrôle du droit portera en partie sur les règles cantonales de procédure, notamment les dispositions du CPC-VD (Code de procédure civile vaudoise du 14 décembre 1966) relatives aux dépens. En effet, le procès, ouvert avant le 1 er janvier 2011, a été régi, en première instance, par le droit de procédure cantonal (art. 404 al. 1 CPC ; Tappy, op. cit., nn. 21 ss ad art. 405 CPC). b)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En l’espèce, l’autorité d’appel est en mesure de statuer en réforme sur la base des pièces au dossier.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in JT 2010 III 140). Cette limitation ne vaut pas lorsque la maxime d’office est applicable, les conclusions des parties n’étant que des propositions qui ne lient pas le juge (Reetz/Hilber, in Kommentar zur Schweizerischen Zivilprozessordnung, Zurich 2010, n. 76 ad art. 317 CPC). En l’espèce, l'appelante a repris les conclusions prises en première instance, qui sont donc recevables.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l'intimé a produit deux pièces à l'appui de sa réponse. La pièce 49, antérieure à l'audience de jugement, est irrecevable, dès lors que l'intimé ne démontre pas que les conditions de l'art. 317 al. 1 CPC sont remplies. La pièce 48 est certes nouvelle en ce sens qu'elle a été établie postérieurement à l’audience de jugement de première instance, mais concerne des faits qui ne sont pas nouveaux. La partie qui l'a produite n’explique au demeurant pas pourquoi elle ne pouvait pas la produire en première instance. Il en découle que cette pièce est également irrecevable.</w:t>
      </w:r>
    </w:p>
    <w:p>
      <w:r>
        <w:rPr>
          <w:b/>
        </w:rPr>
        <w:t>E. 3</w:t>
      </w:r>
    </w:p>
    <w:p>
      <w:r>
        <w:t>Dans un premier temps, l'appelante se plaint d'une constatation inexacte des faits et demande que l'état de fait soit complété sur plusieurs points. a) Elle reproche tout d'abord aux premiers juges de n'avoir pas retenu les certificats médicaux du Dr [...] produits en première instance (pièces 114 et 129), qui font état des problèmes articulaires dont elle souffre. L'état de fait a été complété en mentionnant ces certificats et en exposant leur contenu. b) Selon l'appelante, les premiers juges ont considéré à tort que ses efforts en vue d'acquérir une indépendance économique paraissaient insuffisants. Sur ce point, elle reproche au tribunal de ne pas avoir mentionné les cahiers (pièce 103 bis) dans lesquels sont consignées ses recherches d'emploi. L'état de fait a été modifié en ce sens que les cahiers de l'appelante ont été mentionnés. c) Dans le jugement attaqué, les premiers juges ont selon l'appelante traité de manière lacunaire la séparation du couple en omettant de préciser qu'une procédure de mesures protectrices de l'union conjugale avait été introduite pour la première fois en 2007. L'état de fait a été précisé en ce sens. d) Enfin, l'appelante critique le fait que le jugement ne retient pas le montant du bonus variable perçu par l'intimé en 2011. Sur ce point également, l'état de fait a été précisé et le montant de 7'815 fr. perçu à titre de bonus par l'intimé  mentionné.</w:t>
      </w:r>
    </w:p>
    <w:p>
      <w:r>
        <w:rPr>
          <w:b/>
        </w:rPr>
        <w:t>E. 4</w:t>
      </w:r>
    </w:p>
    <w:p>
      <w:r>
        <w:t>a) L'appelante soutient qu'en vertu de l'art. 125 CC (Code civil suisse du 10 décembre 1907, RS 210), elle a droit une contribution d'entretien pour elle-même. Elle fait valoir qu'au vu de sa situation personnelle et de sa formation, elle n'est pas en mesure de réaliser un revenu permettant de couvrir ses frais.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En l'espèce, les parties se sont mariées en 1992 et se sont séparées de fait en 2001. Le couple a eu deux enfants. L'appelante a cessé de travailler en 1992 à la naissance du premier enfant et a repris une activité lucrative à temps partiel en 2004. Au regard de ces éléments, il y a lieu d'admettre que le mariage a exercé une influence concrète et durable sur la situation financière de l'appelante. Cet aspect n'est d'ailleurs pas remis en cause par les parties. c)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 TF 5A_288/2008 du 27 août 2008 c. 5 et TF 5A_507/2011 du 31 janvier 2012 c. 4.3.1).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(ATF 128 III 4 c. 4; ATF 126 III 10 c. 2b; TF 5A_894/2010 du 15 avril 2011 c. 3.1; TF 5A_588/2010 du 12 janvier 2011 c. 2.1;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(ATF 137 III 118 c. 3.2; TF 5A_894/2010 précité c. 3.1).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(ATF 115 lI 6 c. 5a ; TF 5A_76/2009 du 4 mai 2009 c. 6.2.3 ; TF 5C.320/2006 du 1 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50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d/ aa) En l’espèce, les parties ont vécu séparément depuis 2001. Lorsqu'elles ont passé une convention de mesures protectrices de l'union conjugale en octobre 2007, il avait été admis que l’épouse gagnait 725 fr. par mois et avait droit à une pension de 4’500 fr., allocations familiales en sus pour les deux enfants. Toutefois, aucun élément ne permet de déterminer comment les ressources des conjoints étaient réparties au sein du couple durant la séparation de fait antérieure et dans quelle mesure celle-ci était effective. Le régime prévu par les mesures protectrices n’ayant duré que trois années avant l’ouverture de l'action en divorce - sur une dizaine d’années de séparation -, on ne saurait considérer que le train de vie de l’appelante correspond à sa situation durant cette période restreinte. Il faut plutôt, puisque le revenu de chacun des époux n'a guère varié depuis leur séparation de fait et qu'on peut partir de l'idée, vu la présence des enfants, que l'entier de ce revenu était utilisé pour subvenir aux besoins des deux ménages, considérer que l'appelante peut prétendre au même train de vie que l'intimé. En l'occurrence, au vu de la situation personnelle et financière des parties, on peut considérer que des économies n'étaient pas réalisées durant le mariage. Il s'agit donc d'appliquer la méthode dite du minimum vital élargi. Dans ce cadre, les premiers juges ont fixé à 4'600 fr. le montant nécessaire pour assumer l'entretien convenable de l'appelante. Celle-ci ne remet pas en cause ce montant. L’intimé quant à lui ne discute pas les divers éléments qui composent ce montant global et se borne à proposer un calcul dans lequel on déduirait du montant dont disposait l’appelante en mesures protectrices une part afférente aux enfants, procédé qui ne peut pas être adopté en procédure de divorce. Il sied donc de déterminer si l'appelante est en mesure de réaliser un revenu lui permettant de couvrir son entretien convenable. bb) Les parties divergent au sujet du revenu que l’appelante est en mesure de réaliser. Selon l'intimé et les premiers juges, l'appelante aurait une capacité de gain qui lui permettrait de couvrir son entretien convenable. L’appelante quant à elle estime être en mesure du gagner un montant de 1'800 fr. par mois et prétend au versement d'une contribution d'entretien correspondant au déficit qu'elle devrait supporter, soit 2'800 fr (4'600 fr. – 1'800 fr.) Malgré le fait que à dire de médecin, l'appelante devrait éviter de longues stations debout et des travaux physiquement contraignants, il ne ressort pas du dossier qu'elle ne serait pas en mesure de travailler à 100 %. Au surplus, les enfants, âgés de plus de 16 ans, ne nécessitent plus sa présence. On peut ainsi exiger de l'appelante qu’elle exerce une activité lucrative à 100%. Agée de 55 ans, elle n’a pas d’autre formation que celle d’assistante d’exploitation PTT acquise en 1974. A la naissance du premier enfant du couple en 1992, elle a quitté son emploi non qualifié au CHUV et a repris en 2004 une activité de vendeuse à temps partiel. Il est vrai qu’elle aurait pu s’inscrire, en qualité de demandeur d’emploi à I’ORP, respectivement suivre certains cours de formation et ne pas se borner à effectuer des recherches de travail épisodiquement comme le montrent les pièces qu’elle a produites. Toutefois, au vu de sa situation, il ne peut être attendu d'elle, qu'elle trouve un emploi lui offrant une rémunération supérieure au double de ce qu’elle gagne actuellement à mi-temps en qualité de vendeuse, ce d’autant moins qu’elle éprouve certains ennuis de santé. L'appelante exerçant déjà une activité à temps partiel en adéquation avec ses qualifications, sa capacité contributive doit être déterminée sur cette base et non pas en se référant à des valeurs statistiques. Dès lors, le revenu hypothétique pouvant être imputé à l'appelante doit correspondre au double du salaire perçu actuellement pour son activité à 50%. Au vu des revenus réalisés en 2010 et 2011 et de l'augmentation de salaire dont elle bénéficie, le revenu de l'appelante s'élève actuellement à 1'700 fr. pour son activité à mi-temps. Le revenu hypothétique pouvant lui être imputé s'élève donc à 3'400 fr. (2 x 1'700 fr.) par mois. A relever que ce montant n'est pas très éloigné du salaire mensuel net retenu par la statistique pour une femme dans le secteur du commerce de détail pour une activité simple et répétitive, qui s'élève à environ 3'500 fr. ( 4'164 fr. brut – déductions sociales de l'ordre de 15% ; http://www.news.admin.ch/ message/index.html?lang=fr&amp;msg-id=42391 ). cc) L'appelante, qui est en mesure de réaliser un revenu de 3'400 fr. par mois, n'a pas une capacité de gain suffisante pour assumer son entretien convenable qui s'élève à 4'600 fr. Elle a donc droit à une contribution d'entretien qui doit être fixée à 1'200 fr. (4'600 fr. – 3'400 fr). Vu sa situation financière et personnelle, l'intimé est à même de s'acquitter mensuellement de ce montant. e) Bien fondé, le moyen doit être admis.</w:t>
      </w:r>
    </w:p>
    <w:p>
      <w:r>
        <w:rPr>
          <w:b/>
        </w:rPr>
        <w:t>E. 5</w:t>
      </w:r>
    </w:p>
    <w:p>
      <w:r>
        <w:t>a) L’appelante conclut à ce que les frais et dépens de première instance soient mis à la charge de l'intimé. b) S’agissant de la pension, unique point encore litigieux au stade du jugement, l’appelante demandait 2'800 fr. alors que l’intimé s’opposait au principe d'une contribution d'entretien. La pension finalement octroyée s’élevant à 1'200 fr. jusqu’à ce que le débirentier ait atteint l’âge de l’AVS, l’appelante obtient partiellement gain de cause sur la question encore litigieuse. c) Vu ce qui précède, l'appelante a droit a des dépens de première instance réduits d'un tiers. En tenant compte de ses frais d'avocats et des frais de justice, des dépens de première instance, arrêtés à 2'000 fr., doivent lui être alloués.</w:t>
      </w:r>
    </w:p>
    <w:p>
      <w:r>
        <w:rPr>
          <w:b/>
        </w:rPr>
        <w:t>E. 6</w:t>
      </w:r>
    </w:p>
    <w:p>
      <w:r>
        <w:t>En conclusion, l’appel doit être partiellement admis et le jugement est complété par un chiffre III bis de son dispositif,  en ce sens que l’intimé contribuera à l’entretien de l’appelante par le régulier versement d’une pension mensuelle de 1'200 fr, payable d’avance le premier de chaque mois, dès jugement définitif et exécutoire et jusqu’à ce que l’intimé ait atteint l’âge de l’AVS, et réformé à son chiffre V en ce sens que l'intimé doit à l’appelante la somme de 2'000 fr. à titre de dépens de première instance. Les frais judiciaires de deuxième instance, arrêtés à 1‘500 fr. (art. 63 al. 3 TFJC [Tarif des frais judiciaires civils du 28 septembre 2010, RSV 270.11.5]), doivent être mis à la charge de l’intimé à raison des deux tiers, le solde incombant à l’appelante. Vu le sort de l’appel, l’appelante a droit à des dépens de deuxième instance diminués d’un tiers. Un plein défraiement se serait élevé à 2’100 fr. de sorte qu’un montant de 1’400 fr. doit être alloué.</w:t>
      </w:r>
    </w:p>
    <w:p>
      <w:r>
        <w:rPr>
          <w:b/>
        </w:rPr>
        <w:t>E. 7</w:t>
      </w:r>
    </w:p>
    <w:p>
      <w:r>
        <w:t>Le 6 juin 2012, le conseil d’office de l’appelante a déposé une liste des opérations dont il ressort qu’il a consacré 9 heures et 18 minutes à la procédure d’appel, ce qui paraît justifié vu l’ampleur du litige et le travail accompli. Au tarif horaire de 180 fr. (art. 2 RAJ [Règlement sur l’assistance judiciaire en matière civile du 7 décembre 2010, RSV 211.02.3]), l’indemnité doit être fixée à 1'807 fr. 90, TVA par 8% comprise. Aucun débours n'étant allégué, l’indemnité d’office de Me Catherine Jacottet Tissot doit ainsi être arrêtée à 1'807 fr. 90.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