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 vom 22. November 2011</w:t>
      </w:r>
    </w:p>
    <w:p>
      <w:r>
        <w:t>VD Tribunal cantonal, 2011-11-22, FR</w:t>
      </w:r>
    </w:p>
    <w:p>
      <w:r>
        <w:rPr>
          <w:b/>
        </w:rPr>
        <w:t xml:space="preserve">Quelle: </w:t>
      </w:r>
      <w:r>
        <w:t>https://mcp.opencaselaw.ch/entscheid/vd_findinfo_HC___2012___42</w:t>
      </w:r>
    </w:p>
    <w:p>
      <w:r>
        <w:t>FR: VD_FINDINFO HC / 2012 / 42 du 22 novembre 2011</w:t>
      </w:r>
    </w:p>
    <w:p>
      <w:r>
        <w:t>IT: VD_FINDINFO HC / 2012 / 42 del 22 novembre 2011</w:t>
      </w:r>
    </w:p>
    <w:p>
      <w:pPr>
        <w:pStyle w:val="Heading2"/>
      </w:pPr>
      <w:r>
        <w:t>Regeste</w:t>
      </w:r>
    </w:p>
    <w:p>
      <w:r>
        <w:t>ASSISTANCE JUDICIAIRE, AVOCAT D'OFFICE, INDEMNITÉ ÉQUITABLE, NOUVEAU MOYEN DE PREUVE, CONSTATATION DES FAITS | 122 al. 1 let. a CPC (CH), 326 al. 1 CPC (CH), 326 CPC (CH)</w:t>
      </w:r>
    </w:p>
    <w:p>
      <w:pPr>
        <w:pStyle w:val="Heading2"/>
      </w:pPr>
      <w:r>
        <w:t>Erwägungen</w:t>
      </w:r>
    </w:p>
    <w:p>
      <w:r>
        <w:rPr>
          <w:b/>
        </w:rPr>
        <w:t>E. 1</w:t>
      </w:r>
    </w:p>
    <w:p>
      <w:r>
        <w:t>a) La décision entreprise a été communiquée le 15 juin 2011, de sorte que les voies de droit sont régies par le CPC (Code de procédure civile du 19 décembre 2008; RS 272), entré en vigueur le 1 er janvier 2011 (art. 405 al. 1 CPC). b) La décision sur les frais ne peut être attaquée séparément que par un recours (art. 110 CPC). La jurisprudence et la doctrine admettent que le conseil juridique dispose à titre personnel d'un droit de recours au sujet de la rémunération équitable accordée (ATF 131 V 153 c. 1; Tappy, CPC commenté, Bâle 2011, n. 22 ad art. 122 CPC, p. 503).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10 jours (art. 321 al. 2 CPC). En l'espèce, déposé en temps utile par une partie qui y a intérêt, le recours est recevable.</w:t>
      </w:r>
    </w:p>
    <w:p>
      <w:r>
        <w:rPr>
          <w:b/>
        </w:rPr>
        <w:t>E. 2</w:t>
      </w:r>
    </w:p>
    <w:p>
      <w:r>
        <w:t>a) Le recours est recevable pour violation du droit (art. 320 let. a CPC) et constatation manifestement inexacte des faits (art. 320 let. b CPC). aa)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bb)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cc)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CPC Commenté, 2011, n. 4 ad art. 326 CPC, p. 1285). Les pièces produites par le recourant ne figurant pas au dossier de première instance, elles sont en conséquence irrecevables, vu la règle de l'art. 326 al. 1 CPC. b) Le recourant fait valoir que l'assistance judiciaire a été octroyée à l'intimée avec effet au 6 décembre 2007. Il ressort de la décision d'octroi de l'assistance judiciaire du 3 décembre 2009 figurant au dossier de première instance que cette décision mentionne qu'elle prolonge une précédente décision du 15 janvier 2009. Le premier juge a par inadvertance omis cette mention, ce qui est constitutif d'une constatation manifestement inexacte au sens de l'art. 320 let. b CPC. En revanche la décision du 15 janvier 2009, bien qu'annoncée au chiffre 15 du bordereau du 12 mai 2010, ne figure pas dans celui-ci. C'est donc sans arbitraire, au regard du dossier de première instance, que le premier juge a retenu que l'assistance judiciaire n'avait pas été octroyée à l'intimée avant le 15 janvier 2009. Il appartenait au recourant de produire les décisions qu'il invoque en première instance. Le recours doit être admis partiellement sur ce point.</w:t>
      </w:r>
    </w:p>
    <w:p>
      <w:r>
        <w:rPr>
          <w:b/>
        </w:rPr>
        <w:t>E. 3</w:t>
      </w:r>
    </w:p>
    <w:p>
      <w:r>
        <w:t>a) Le recourant fait valoir que l'affaire a été rendue complexe par le fait qu'B.H.________ n'était pas assisté par un avocat, mais par une association, ce qui l'a amené à devoir lui donner à plusieurs reprises des explications, ainsi qu'au représentant de l'association, et à répondre à leurs interpellations, éléments qui expliquent l'ampleur de son intervention. b) Aux termes de l’art. 122 al. 1 let. a CPC, le conseil juridique commis d’office est rémunéré équitablement par le canton.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 stagiaire. Le législateur a ainsi renoncé à imposer le principe d'une pleine indemnisation, de sorte que les principes arrêtés dans la jurisprudence (ATF 132 I 201) gardent toute leur validité dans le cadre de l'art. 122 CPC. Pour fixer la quotité de l'indemnité du conseil d'office,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 3b; 117 la 22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c) En l'espèce, les opérations figurant dans la liste de opérations du recourant pour la période du 15 janvier au 3 décembre 2009 consistent principalement dans des lettres à la partie adverse et des courriers ou des entretiens téléphoniques avec l'intimée. Dès lors que les opérations relevant de l'aide sociale ne sont pas considérées comme nécessaires à l'accomplissement du mandat d'office, l'argumentation du recourant n'est pas déterminante et le nombre de ces opérations apparaît excessif, compte tenu de la nature et de la complexité de la cause. Dans ces circonstances on doit estimer le temps nécessaire à l'accomplissement du mandat à 4 heures pour ces opérations, durée à laquelle il convient d'ajouter 2 heures pour la rédaction de la requête et la modification de celle-ci. Au tarif horaire de 180 fr., l'indemnité pour cette période doit être fixée à 1'080 fr., montant auquel il convient d'ajouter la TVA de 7,6 % (les opérations litigieuses étant antérieures au 31 décembre 2010), par 82 fr. 10, soit un montant total de 1'162 fr. 10. Ce montant s'ajoute à l'indemnité allouée par le premier juge de 4'354 francs 15, de sorte que l'indemnité globale doit être fixée à 5'516 fr. 25. Les débours invoqués par le recourant ayant intégralement été pris en compte par le premier juge, il n'y a pas lieu de les augmenter.</w:t>
      </w:r>
    </w:p>
    <w:p>
      <w:r>
        <w:rPr>
          <w:b/>
        </w:rPr>
        <w:t>E. 4</w:t>
      </w:r>
    </w:p>
    <w:p>
      <w:r>
        <w:t>En conclusion, le recours doit être admis partiellement et la décision réformée en ce sens que l'indemnité allouée au recourant est fixée à 5'516 fr. 25. Vu l'issue du recours, les frais judiciaires de deuxième instance, fixés à 200 fr. (art. 69 et 70 al. 3 TJFJC [tarif du 28 septembre 2010 des frais judiciaires civils, RSV 270.11.5]) sont mis par moitié à la charge du recourant et par moitié à la charge de l'intimée (art. 106 al. 2 CPC), l'intimée devant rembourser, par 100 fr., au recourant la moitié de l'avance de frais effectuée par celui-ci (art. 111 al. 2 CPC). Par ces motifs, la Chambre des recours civile du Tribunal cantonal, statuant à huis clos, prononce : I. Le recours est partiellement admis. II.              La décision est modifiée au chiffre I de son dispositif, en ce sens que l'indemnité de l'avocat V.________ est fixée à 5'516 fr. 25 (cinq mille cinq cent seize francs et vingt-cinq centimes). La décision est confirmée pour le surplus. III.              Les frais judiciaires de deuxième instance, arrêtés à 200 fr. (deux cents francs) sont mis par moitié à la charge du recourant et par moitié à la charge de l'intimée. IV.              L'intimée A.H.________ doit verser au recourant V.________ la somme de 100 fr. (cent francs) à titre de restitution d'avance de frais de deuxième instance. V.              L'arrêt motivé est exécutoire. Le président :               Le greffier : Du 24 novembre 2011 Le dispositif de l'arrêt qui précède est communiqué par écrit aux intéressés. Le greffier : Du L'arrêt qui précède, dont la rédaction a été approuvée à huis clos, est notifié en expédition complète, par l'envoi de photocopies, à : ‑ Me V.________, ‑ Mme A.H.________. La Chambre des recours civile considère que la valeur litigieuse est inférieure à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