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413 vom 22. Mai 2012</w:t>
      </w:r>
    </w:p>
    <w:p>
      <w:r>
        <w:t>VD Tribunal cantonal, 2012-05-22, FR</w:t>
      </w:r>
    </w:p>
    <w:p>
      <w:r>
        <w:rPr>
          <w:b/>
        </w:rPr>
        <w:t xml:space="preserve">Quelle: </w:t>
      </w:r>
      <w:r>
        <w:t>https://mcp.opencaselaw.ch/entscheid/vd_findinfo_HC___2012___413</w:t>
      </w:r>
    </w:p>
    <w:p>
      <w:r>
        <w:t>FR: VD_FINDINFO HC / 2012 / 413 du 22 mai 2012</w:t>
      </w:r>
    </w:p>
    <w:p>
      <w:r>
        <w:t>IT: VD_FINDINFO HC / 2012 / 413 del 22 maggio 2012</w:t>
      </w:r>
    </w:p>
    <w:p>
      <w:pPr>
        <w:pStyle w:val="Heading2"/>
      </w:pPr>
      <w:r>
        <w:t>Regeste</w:t>
      </w:r>
    </w:p>
    <w:p>
      <w:r>
        <w:t>RÉCUSATION | 6 par. 1 CEDH, 30 al. 1 Cst., 73 al. 1 LOJV, 18 al. 1 ROTC, 319 let. b ch. 1 CPC (CH), 322 al. 1 CPC (CH), 50 al. 2 CPC (CH), 8a al. 3 CDPJ, 8a al. 7 CDPJ</w:t>
      </w:r>
    </w:p>
    <w:p>
      <w:pPr>
        <w:pStyle w:val="Heading2"/>
      </w:pPr>
      <w:r>
        <w:t>Erwägungen</w:t>
      </w:r>
    </w:p>
    <w:p>
      <w:r>
        <w:rPr>
          <w:b/>
        </w:rPr>
        <w:t>E. 1</w:t>
      </w:r>
    </w:p>
    <w:p>
      <w:r>
        <w:t>En vertu de l'art. 319 let. b ch. 1 CPC (Code de procédure civile du 19 décembre 2008; RS 272), le recours est recevable contre les autres décisions et ordonnances d'instruction dans les cas prévu par la loi. L'art. 50 al.</w:t>
      </w:r>
    </w:p>
    <w:p>
      <w:r>
        <w:rPr>
          <w:b/>
        </w:rPr>
        <w:t>E. 2</w:t>
      </w:r>
    </w:p>
    <w:p>
      <w:r>
        <w:t>Dans un argumentaire confus ou parfois incompréhensible, le recourant persiste à soutenir que la justice de paix intimée serait juge et partie dans la procédure en mainlevée du conseil légal coopérant du recourant, en raison du litige qui opposerait ce dernier à la Ville de Lausanne au sujet d'un garde-meubles. La garantie du juge impartial, qui découle des art. 30 al. 1 Cst. (Constitution fédérale de la Confédération suisse du 18 avril 1999; RS 101)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la 172 c. 3). En réalité, on ne voit pas, d'une part, le rapport qu'il y aurait entre le soi-disant litige au sujet du garde-meubles et la procédure de mainlevée, d'autre part, en quoi la Ville de Lausanne aurait autorité sur la justice de paix du for, dès lors qu'il s'agit d'un côté d'une autorité exécutive communale et de l'autre d'une autorité judiciaire de district, de sorte qu'il n'existe aucun lien de subordination. Pour le reste, la décision entreprise peut être confirmée par adoption de motifs.</w:t>
      </w:r>
    </w:p>
    <w:p>
      <w:r>
        <w:rPr>
          <w:b/>
        </w:rPr>
        <w:t>E. 3</w:t>
      </w:r>
    </w:p>
    <w:p>
      <w:r>
        <w:t>Au vu de ce qui précède, le recours doit être rejeté, en application de l'art. 322 al. 1 CPC, et la décision confirmée. Les frais judiciaires de deuxième instance, arrêtés à 100 fr. (art. 69 aI. 1 TFJC [tarif des frais judiciaires civils du 28 septembre 2010; RSV 270.11.5]), doivent être mis à la charge du recourant (art. 106 al. 1 CPC). Le recours étant voué à l'échec, la requête d'assistance judiciaire doit être rejetée (art. 117 let. b CPC).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100 fr. (cent francs), sont mis à la charge du recourant C.________. V. L'arrêt motivé est exécutoire. Le président :               Le greffier : Du 23 mai 2012 Le dispositif de l'arrêt qui précède est communiqué par écrit aux intéressés. Le greffier : Du L'arrêt qui précède, dont la rédaction a été approuvée à huis clos, est notifié en expédition complète, par l'envoi de photocopies, à : ‑ C.________, ‑ Mme la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administrative du Tribunal cantonal, ‑ Me B.________.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