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409 vom 30. Mai 2012</w:t>
      </w:r>
    </w:p>
    <w:p>
      <w:r>
        <w:t>VD Tribunal cantonal, 2012-05-30, FR</w:t>
      </w:r>
    </w:p>
    <w:p>
      <w:r>
        <w:rPr>
          <w:b/>
        </w:rPr>
        <w:t xml:space="preserve">Quelle: </w:t>
      </w:r>
      <w:r>
        <w:t>https://mcp.opencaselaw.ch/entscheid/vd_findinfo_HC___2012___409</w:t>
      </w:r>
    </w:p>
    <w:p>
      <w:r>
        <w:t>FR: VD_FINDINFO HC / 2012 / 409 du 30 mai 2012</w:t>
      </w:r>
    </w:p>
    <w:p>
      <w:r>
        <w:t>IT: VD_FINDINFO HC / 2012 / 409 del 30 maggio 2012</w:t>
      </w:r>
    </w:p>
    <w:p>
      <w:pPr>
        <w:pStyle w:val="Heading2"/>
      </w:pPr>
      <w:r>
        <w:t>Regeste</w:t>
      </w:r>
    </w:p>
    <w:p>
      <w:r>
        <w:t>PROTECTION DE L'UNION CONJUGALE, OBLIGATION D'ENTRETIEN, CONJOINT, , DROIT À UN DÉFENSEUR, INTERPRÈTE, ASSISTANCE JUDICIAIRE, NOTIFICATION DE LA DÉCISION, MOTIVATION DE LA DÉCISION, INDICATION DES VOIES DE DROIT, ASSISTANCE JUDICIAIRE, CHANCES DE SUCCÈS, FRAIS DE LOGEMENT, MINIMUM VITAL | 176 al. 1 ch. 1 CC, 117 CPC (CH)</w:t>
      </w:r>
    </w:p>
    <w:p>
      <w:pPr>
        <w:pStyle w:val="Heading2"/>
      </w:pPr>
      <w:r>
        <w:t>Erwägungen</w:t>
      </w:r>
    </w:p>
    <w:p>
      <w:r>
        <w:rPr>
          <w:b/>
        </w:rPr>
        <w:t>E. 1</w:t>
      </w:r>
    </w:p>
    <w:p>
      <w:r>
        <w:t>CPC). Interjeté en temps utile par une personne qui y a un intérêt dans un litige dont la valeur litigieuse calculée selon l'art. 92 CPC dépasse 10'000 fr., l'appel est recevable.</w:t>
      </w:r>
    </w:p>
    <w:p>
      <w:r>
        <w:rPr>
          <w:b/>
        </w:rPr>
        <w:t>E. 2</w:t>
      </w:r>
    </w:p>
    <w:p>
      <w:r>
        <w:t>a) L'appel portant sur des mesures protectrices de l'union conjugale, il relève de la compétence du juge unique (art. 84 al. 2 LOJV [loi du 12 décembre 1979 d'organisation judiciaire; RSV 173.01]). b)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l'appréciation des faits sur la base des preuves administrées en première instance (Jeandin, op. cit. n. 6 ad art. 310 CPC, pp. 1249-1250).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(Jeandin, op. cit., n. 8 ad art. 317 CPC, p. 1266).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c) En l'espèce, les pièces produites par l'appelant en deuxième instance sont recevables, dès lors que le litige porte en partie sur la contribution d'entretien d'un enfant mineur.</w:t>
      </w:r>
    </w:p>
    <w:p>
      <w:r>
        <w:rPr>
          <w:b/>
        </w:rPr>
        <w:t>E. 3</w:t>
      </w:r>
    </w:p>
    <w:p>
      <w:r>
        <w:t>L'appelant soutient qu'il convient de retenir un loyer hypothétique de 1'500 fr., afin de lui permettre de trouver un logement d'une pièce et demie ou deux pièces, vu le montant des loyers dans la région lausannoise. Les frais de logement dont il faut tenir compte dans le calcul de la contribution d'entretien selon l'art. 176 al. 1 ch. 1 CC sont en principe les frais de logement effectifs ou raisonnables compte tenu d'un certain nombre de critères (Bastons Bulletti, L'entretien après divorce: méthodes de calcul, montant, durée et limites, SJ 2007 II 85). En principe, il n'y a pas lieu de tenir compte, dans le cadre de mesures protectrices de l'union conjugale ou de mesures provisionnelles, de frais de logement pour un débiteur qui, logé provisoirement chez ses parents pour une durée indéterminée, n'en assume pas. Il lui sera loisible de faire valoir ses frais de logement effectifs dès conclusion d'un contrat de bail (CACI 18 avril 2011/51; CACI 13 octobre 2011/298). En l'espèce, l'appelant n'a à ce jour signé aucun contrat de bail et, à la différence de l'entretien après divorce, l'entretien selon l'art. 176 al. 1 ch. 1 CC a un caractère provisoire et est donc susceptible d'être modifié plus aisément. Dans ces circonstances, il convient de prendre en compte la charge actuelle de loyer de l'appelant, par 500 fr. par mois. Il appartiendra à l'appelant de requérir la modification de la contribution en cause lorsqu'il aura trouvé un autre logement. L'appel doit être rejeté sur ce point.</w:t>
      </w:r>
    </w:p>
    <w:p>
      <w:r>
        <w:rPr>
          <w:b/>
        </w:rPr>
        <w:t>E. 4</w:t>
      </w:r>
    </w:p>
    <w:p>
      <w:r>
        <w:t>L'appelant fait valoir que la rente AI pour enfant couvre les besoins de C.J.________. Conformément à l'art. 176 al. 1 ch. 1 CC, le juge fixe la contribution pécuniaire à verser par l'une des parties à l'autre. Le montant des aliments se détermine en fonction des facultés économiques et des besoins respectifs des époux. Le législateur n'a pas arrêté de mode de calcul à cette fin. L'une des méthodes préconisées par la doctrine et considérée comme conforme au droit fédéral en cas de situation financière moyenne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Il 26). C'est cette méthode que le premier juge a appliquée et l'appelant ne la conteste pas. Le montant de la rente AI pour enfant a été déduite du revenu déterminant de l'appelant et les frais occasionnés par l'enfant n'ont pas été pris en compte dans le calcul du minimum vital de l'intimée. Le fait que cette rente dépasse les besoins minimaux de l'enfant n'est des lors pas déterminant. En outre, la contribution en cause n'atteint pas le minimum vital de l'appelant, alors qu'elle est insuffisante pour combler les besoins minimaux de l'intimée. Rien ne justifie donc de la modifier. L'appel doit être rejeté sur ce point.</w:t>
      </w:r>
    </w:p>
    <w:p>
      <w:r>
        <w:rPr>
          <w:b/>
        </w:rPr>
        <w:t>E. 5</w:t>
      </w:r>
    </w:p>
    <w:p>
      <w:r>
        <w:t>L'appelant fait grief au premier juge de n'avoir pas instruit la question des revenus et de la fortune de l'intimée. Selon la jurisprudence, en principe, on ne peut exiger d'un époux la prise ou la reprise d'une activité lucrative à un taux de 50% avant que le plus jeune des enfants dont il a la garde n'ait atteint l'âge de dix ans révolus et de 100% avant qu'il n'ait atteint l'âge de seize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(TF 5A_6/2009 du 30 avril 2009 c. 2.2). Le juge du fait tient compte de ces lignes directrices dans l'exercice du large pouvoir d'appréciation qui est le sien (ATF 134 III 577 c. 4; sur le tout: ATF 137 III 102 c. 4.2.2.2; TF 5A_909/2010 du 4 avril 2011, SJ 2011 I 315). En l'espèce, l'appelant a allégué en première instance que l'intimée a effectué divers emplois qui n'ont jamais été déclarés, requis la production de tous documents attestant des revenus de l'intimée et proposé la preuve par témoin à l'appui de cette allégation. Il ne ressort pas du dossier qu'il ait requis l'audition d'un témoin particulier. L'intimée a déclaré ne pas avoir de revenus et n'avoir effectué que des périodes d'essai non rémunérées. On ne saurait donc considérer que l'appelant a établi, ainsi que l'art. 8 CC le lui imposait, que l'intimée a exercé une activité lucrative durant la vie commune. Au surplus, vu la présence d'un enfant en bas âge et sa méconnaissance de la langue française on ne saurait exiger d'elle qu'elle exerce une activité lucrative durable, partant lui imputer un revenu hypothétique. L'appel doit être rejeté sur ce point.</w:t>
      </w:r>
    </w:p>
    <w:p>
      <w:r>
        <w:rPr>
          <w:b/>
        </w:rPr>
        <w:t>E. 6</w:t>
      </w:r>
    </w:p>
    <w:p>
      <w:r>
        <w:t>Selon l'art. 117 let. b CPC l'une des conditions à l'octroi de l'assistance judiciaire est que la cause ne paraisse pas dépourvue de chance de succès. D’après la jurisprudence relative à l’art. 29 al. 3 Cst. (Constitution fédérale du 18 avril 1999; RS 101,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Une partie ne doit pas pouvoir soutenir aux frais de l'Etat un procès qu'elle ne mènerait pas à ses propres frais et risques (ATF 125 II 265 c. 4b ; ATF 124 I 304 c. 2c ; ATF 122 I 267 c. 2b ; ATF 119 Ia 251 c. 3b ; ATF 119 III 113 c. 3a ; ATF 109 Ia 5 c. 4) La doctrine est d’avis qu’il ne faut pas se montrer trop sévère quant à l’examen des chances de succès du requérant : pour accorder l’assistance judiciaire, point n’est besoin qu’une victoire du requérant paraisse probable, ni même plus vraisemblable qu’une défaite (Tappy, op. cit., n. 31 ad art. 117 CPC, p. 474 et la réf. citée au Message CPC, p. 6912). Un procès n’est pas dépourvu de chances de succès lorsque celles-ci et les risques d’échec s’équilibrent à peu près, ou que les premières ne sont que légèrement inférieures aux secondes (TF 4A_455/2010 du 20 octobre 2010 ; ATF 133 III 614 c. 5 ; ATF 129 I 129 c. 2.3.1, JT 2005 IV 300). La situation doit être appréciée à la date du dépôt de la requête, sur la base d’un examen sommaire (ATF 133 III 614 c. 5 et les réf. citées), En pratique, c’est surtout pour des motifs juridiques qu’un refus à ce stade pourrait intervenir faute de chance de succès, par exemple, s’il paraît fortement probable, au vu des affirmations ou allégations, que l’action, respectivement la procédure d’appel ou de recours, envisagée serait irrecevable, prescrite ou infondée (Tappy, op. cit., n. 34 ad art. 117 CPC, p. 475). En l'espèce, il y a lieu de considérer que les moyens soulevés par l'appelant étaient manifestement infondés, partant d'admettre que l'appel était dénué de chance de succès au sens de la jurisprudence susmentionnée. L'assistance judiciaire pour la procédure d'appel doit en conséquence être refusée.</w:t>
      </w:r>
    </w:p>
    <w:p>
      <w:r>
        <w:rPr>
          <w:b/>
        </w:rPr>
        <w:t>E. 7</w:t>
      </w:r>
    </w:p>
    <w:p>
      <w:r>
        <w:t>En conclusion, la requête d'assistance judiciaire doit être rejetée de même que l'appel, en application de l'art. 312 al. 1 CPC, et l'ordonnance confirmée. Les frais judiciaires de deuxième instance, arrêtés à 600 fr. (art. 65 al. 2 TFJC [tarif du 28 septembre 2010 des frais judiciaires en matière civile; RSV 270.11.5]) sont mis à la charge de l'appelant, vu le rejet de l'appel (art. 106 al. 1 CPC). Il n'y a pas lieu d'allouer de dépens de deuxième instance, l'intimée n'ayant pas été invitée à se déterminer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 A.J.________. V. Il n'est pas alloué de dépens de deuxième instance. VI. L'arrêt motivé est exécutoire. Le juge délégué : Le greffier : Du 30 mai 2012 Le dispositif de l'arrêt qui précède est communiqué par écrit aux intéressés. Le greffier : Du L'arrêt qui précède, dont la rédaction a été approuvée à huis clos, est notifié en expédition complète, par l'envoi de photocopies, à : ‑ Me Tony Donnet-Monay (pour A.J.________), ‑ Mme B.J.________).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