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393 vom 1. Juni 2012</w:t>
      </w:r>
    </w:p>
    <w:p>
      <w:r>
        <w:t>VD Tribunal cantonal, 2012-06-01, FR</w:t>
      </w:r>
    </w:p>
    <w:p>
      <w:r>
        <w:rPr>
          <w:b/>
        </w:rPr>
        <w:t xml:space="preserve">Quelle: </w:t>
      </w:r>
      <w:r>
        <w:t>https://mcp.opencaselaw.ch/entscheid/vd_findinfo_HC___2012___393</w:t>
      </w:r>
    </w:p>
    <w:p>
      <w:r>
        <w:t>FR: VD_FINDINFO HC / 2012 / 393 du 1 juin 2012</w:t>
      </w:r>
    </w:p>
    <w:p>
      <w:r>
        <w:t>IT: VD_FINDINFO HC / 2012 / 393 del 1 giugno 2012</w:t>
      </w:r>
    </w:p>
    <w:p>
      <w:pPr>
        <w:pStyle w:val="Heading2"/>
      </w:pPr>
      <w:r>
        <w:t>Regeste</w:t>
      </w:r>
    </w:p>
    <w:p>
      <w:r>
        <w:t>PROTECTION DE L'UNION CONJUGALE, OBLIGATION D'ENTRETIEN, ENFANT, REVENU D'UNE ACTIVITÉ LUCRATIVE DÉPENDANTE, GRATIFICATION | 176 al. 3 CC, 285 al. 1 CC, 285 CC</w:t>
      </w:r>
    </w:p>
    <w:p>
      <w:pPr>
        <w:pStyle w:val="Heading2"/>
      </w:pPr>
      <w:r>
        <w:t>Erwägungen</w:t>
      </w:r>
    </w:p>
    <w:p>
      <w:r>
        <w:rPr>
          <w:b/>
        </w:rPr>
        <w:t>E. 1</w:t>
      </w:r>
    </w:p>
    <w:p>
      <w:r>
        <w:t>CPC). Interjetés en temps utile, par des personnes qui y ont un intérêt, les appels sont recevables.</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 En l'espèce, les pièces produites par les parties en deuxième instance sont recevables, dès lors que le litige porte sur la contribution d'entretien d'un enfant mineur. d/aa) L'appelant conteste le montant des ses revenus net tels que retenu par le premier juge, par 11'746 fr. 60 (10'843 fr. x. 13 : 12), en soutenant que les allocations familiales, par 200 fr. doivent en être déduites, ce qui aboutit, selon lui à un revenu mensuel net de 11'529 fr. (10'643 fr. x 13 : 12). L'appelante fait valoir que l'appelant a réalisé en 2011 un revenu net plus important auquel il convient d'ajouter les frais forfaitaires non effectifs de 6'000 francs, soit un revenu mensuel de 14'585 fr. 75. bb) Selon la doctrine et la jurisprudence, le revenu déterminant pour la fixation de la contribution d'entretien est le revenu effectif.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4e éd., 2009, n. 982, p. 571, note infrapaginale 2118). Les bonus régulièrement versés doivent être considérés – même non garantis – comme éléments du revenu effectif (ATF 129 III 7 ; Bastons Bulletti, L'entretien après divorce : méthodes de calcul, montant, durée et limites, in SJ 2007 II 67, n. 18, p. 80 ; CREC II 2 mars 2011/31). Toutefois si des parts de salaire, à l'instar de provisions, de pourboires ou de bonus, sont versées à intervalles irréguliers, voire si elles font l'objet d'un versement unique, et si leur montant est irrégulier, il convient de considérer le revenu comme variable, de sorte que les calculs se baseront sur une valeur moyenne établie sur une période considérée comme représentative (TF 5A_686/2010 du 6 décembre 2010 c. 2.3, in La Pratique du droit de la famille [FamPra.ch] 2011 p. 483). Les forfaits pour frais ne sont pris en compte en tant que revenu que pour la part qui dépasse les frais effectifs (TF 5C_282/2002 du 27 mars 2003, c. 2.2) ; il incombe au salarié d'établir cette part (TF 5P.5/2007 du 9 février 2007, c. 3.4 ; CREC II 2 mars 2011/31). Les allocations pour enfants, affectées exclusivement à l’entretien de ceux-ci, ne doivent pas être prises en compte dans le calcul du revenu du débirentier ou du parent gardien, dès lors que ce sont les enfants qui en sont titulaires (TF 5A_511/2010 du 4 février 2011 c. 3 et les réf. citées ; TF 5A_402/2010 du 10 septembre 2010 c. 4.2.3 et les réf. citées, in Revue de la protection des mineures et des adultes [RMA] 2010, p. 45). Elles sont cependant retranchées du coût d’entretien de l’enfant (TF 5A_511/2010 précité c. 3 ; TF 5A_207/2009 du 21 octobre 2009 c. 3.2 ; TF 5A_746/2008 du 9 avril 2009 c. 6.1 et les réf. citées) et doivent donc être déduites dans le calcul du minimum vital lors de la fixation de la contribution due par le parent non gardien pour l’entretien des siens (TF 5A_511/2010 précité c. 3 ; TF 5A_352/2010 du 29 octobre 2010 c. 6.2.1). cc) En l'espèce, il ressort des certificats de salaire de l'appelant pour l'année 2012 que le montant de 10'843 fr sur lequel s'est fondé le premier juge comprend les allocations familiales, par 200 francs. Or celles-ci doivent en être déduites. Il convient en outre d'ajouter à ce montant l'indemnité de véhicule, par 448 francs, qui est incluse dans le salaire, mais pas l'indemnité de frais de représentation, dès lors qu'il ressort de l'attestation de salaire pour l'année 2011 qu'elle n'est pas incluse dans celui-ci, partant qu'elle couvre des frais effectifs. Quant au bonus, il ressort de la dénomination figurant dans les certificats de travail de l'année 2012 qu'il est variable et l'on ne saurait donc se fonder sur le revenu annuel de la seule année 2011 pour fixer le revenu déterminant pour le calcul de la contribution en cause. En définitive, le salaire déterminant de l'appelant doit être arrêté à 11'473 fr. par mois ([10'843 – 200 – 500 + 448] x 13 : 12).</w:t>
      </w:r>
    </w:p>
    <w:p>
      <w:r>
        <w:rPr>
          <w:b/>
        </w:rPr>
        <w:t>E. 3</w:t>
      </w:r>
    </w:p>
    <w:p>
      <w:r>
        <w:t>L'appelant fait grief au premier juge de n'avoir pas suffisamment tenu compte, dans le calcul de la contribution d'entretien pour l'enfant, du fait que l'appelante ne paie pas d'impôt du fait de son statut de fonctionnaire internationale, et de n'avoir pas pris en compte les allocations familiales versées dans la détermination des besoins de l'enfant. Il soutient qu'il doit financer ces besoins au prorata des revenus des parties nets d'impôts. En vertu de l'art. 285 al. 1 CC, applicable en matière de mesures protectrices de l'union conjugale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op. cit., p. 107 s.; Revue Suisse de Jurisprudence [RSJ] 1984, pp. 392-393, note ad n° 4; Hegnauer/Meier, Droit suisse de la filiation, 4 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n° 4). En présence d'une situation particulièrement aisée du débiteur de la contribution, le Tribunal fédéral admet que lorsque le revenu global des parties dépasse 10'000 fr. par mois, l'on puisse augmenter le montant prévu par les recommandations pour la fixation des contributions d'entretiens des enfants édictées par l'Office de la jeunesse du canton de Zurich (ci-après : Tabelles zurichoises) (TF 5C.1006/2004 du 5 juillet 2004 c. 3.3, résumé in Revue du droit de la Tutelle [RDT] 2004, p. 248; TF 5C.171/2003 du 11 novembre 2003 c. 3.3, FamPra.ch 2004, p. 377). Toutefois, l'entretien de l'enfant n'a pas pour but de permettre l'augmentation de la fortune de celui-ci, de sorte qu'une prestation correspondant aux 40 % de l'entretien destinée à l'épargne de l'enfant n'est pas admissible (TF 5C.173/2005 du 7 décembre 2005 c. 2.3.3). Seule peut entrer en ligne de compte la constitution d'une petite réserve dans certaines circonstances, notamment pour des frais prévisibles de formation ou médicaux (ibidem; Breitschmid, Basler Kommentar,</w:t>
      </w:r>
    </w:p>
    <w:p>
      <w:r>
        <w:rPr>
          <w:b/>
        </w:rPr>
        <w:t>E. 4</w:t>
      </w:r>
    </w:p>
    <w:p>
      <w:r>
        <w:t>Les conclusions actives de deuxième instance de l'appelante ne portant que sur l'étendue du droit de visite de l'appelant et cette question ayant fait l'objet de la transaction du 25 mai 2012, ces conclusions, partant l'appel d'B.Q.________, sont sans objet.</w:t>
      </w:r>
    </w:p>
    <w:p>
      <w:r>
        <w:rPr>
          <w:b/>
        </w:rPr>
        <w:t>E. 5</w:t>
      </w:r>
    </w:p>
    <w:p>
      <w:r>
        <w:t>En conclusion, l'appel de A.Q.________ doit être admis partiellement, celui d'B.Q.________ déclaré sans objet et le prononcé réformé en ce sens que la contribution d'entretien mise à la charge de l'appelant est fixée à 1'700 fr. par mois, allocations familiales non comprises, dès le 1 er juillet 2011, sous déduction de toute somme d'argent d'ores et déjà versée à ce titre, étant précisé que le dispositif du prononcé est confirmé pour le surplus, à l'exception du chiffre IV de son dispositif, vu la transaction passée à l'audience du 25 mai 2012. Les frais de deuxième instance, arrêtés à 1'000 fr. (art. 65 al. 2 et 87 TFJC [tarif du 28 septembre 2010 des frais judiciaires civils; RSV 270.11.5]), sont répartis à raison de moitié à la charge de chacune des parties, dès lors que celles-ci ont transigé sur les questions de l'attribution du droit de garde et de la fixation du droit de visite, qui ont fait l'objet de la part la plus importante de l'instruction, les dépens de deuxième instance étant compensés pour ce motif également (art. 108 al. 1 let. c et 109 al. 2 let. a CPC). Par ces motifs, le juge délégué de la Cour d’appel civile du Tribunal cantonal, statuant à huis clos, prononce : I. L'appel de A.Q.________ est admis partiellement. II. L'appel d'B.Q.________, est sans objet. III. Le prononcé attaqué est réformé au chiffre V de son dispositif comme il suit : V. dit que A.Q.________ contribuera à l'entretien de son fils C.Q.________ par le régulier versement d'une pension mensuelle de 1'700 fr. (mille sept cents francs), allocations familiales non comprises et dues en sus, à verser d'avance le premier de chaque mois en mains de la mère de l'enfant, B.Q.________, dès et y compris le 1 er juillet 2011 et sous déduction de toute somme d'argent d'ores et déjà versée à ce titre. Le prononcé est confirmé pour le surplus, à l'exception du chiffre IV de son dispositif qui a fait l'objet de la transaction signée par les parties à l'audience du 25 mai 2012. IV. Les frais judiciaires de deuxième instance, arrêtés à 1'000 fr. (mille francs), sont mis à la charge de l'appelant A.Q.________ à concurrence de 500 fr. (cinq cents francs) et à la charge de l'appelante B.Q.________, à concurrence de 500 fr. (cinq cents francs). V. Les dépens de deuxième instance sont compensés. VI. L'arrêt motivé est exécutoire. Le juge délégué : Le greffier : Du 4 juin 2012 Le dispositif de l'arrêt qui précède est communiqué par écrit aux intéressés. Le greffier : Du L'arrêt qui précède, dont la rédaction a été approuvée à huis clos, est notifié en expédition complète, par l'envoi de photocopies à : ‑ Me Jean-Marc Reymond (pour A.Q.________), ‑ Me Caroline Ferrero Menut (pour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