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387 vom 15. Juni 2012</w:t>
      </w:r>
    </w:p>
    <w:p>
      <w:r>
        <w:t>VD Tribunal cantonal, 2012-06-15, FR</w:t>
      </w:r>
    </w:p>
    <w:p>
      <w:r>
        <w:rPr>
          <w:b/>
        </w:rPr>
        <w:t xml:space="preserve">Quelle: </w:t>
      </w:r>
      <w:r>
        <w:t>https://mcp.opencaselaw.ch/entscheid/vd_findinfo_HC___2012___387</w:t>
      </w:r>
    </w:p>
    <w:p>
      <w:r>
        <w:t>FR: VD_FINDINFO HC / 2012 / 387 du 15 juin 2012</w:t>
      </w:r>
    </w:p>
    <w:p>
      <w:r>
        <w:t>IT: VD_FINDINFO HC / 2012 / 387 del 15 giugno 2012</w:t>
      </w:r>
    </w:p>
    <w:p>
      <w:pPr>
        <w:pStyle w:val="Heading2"/>
      </w:pPr>
      <w:r>
        <w:t>Regeste</w:t>
      </w:r>
    </w:p>
    <w:p>
      <w:r>
        <w:t>MESURE PROVISIONNELLE, EXPULSION DE LOCATAIRE | 261 al. 1 CPC (CH)</w:t>
      </w:r>
    </w:p>
    <w:p>
      <w:pPr>
        <w:pStyle w:val="Heading2"/>
      </w:pPr>
      <w:r>
        <w:t>Erwägungen</w:t>
      </w:r>
    </w:p>
    <w:p>
      <w:r>
        <w:rPr>
          <w:b/>
        </w:rPr>
        <w:t>E. 1</w:t>
      </w:r>
    </w:p>
    <w:p>
      <w:r>
        <w:t>L’appel est recevable contre les ordonnances de mesures provisionnelles (art. 308 al. 1 let. b CPC), dans les causes non patrimoniales ou dont la valeur litigieuse est supérieure à 10'000 fr. (art. 308 al. 2 CPC). En l’espèce, compte tenu de la somme versée mensuellement à titre d’indemnité pour occupation illicite, soit 700 fr., et de la durée prévisible de la procédure provisionnelle, c'est à juste titre que le premier juge a considéré que la valeur litigieuse était inférieure à 10'000 francs. Seule la voie du recours est dès lors ouverte (art. 319 let. a CPC). Les ordonnances de mesures provisionnelles étant régies par la procédure sommaire, selon l’art. 248 let. d CPC, le délai pour l’introduction du recours est de dix jours (art. 314 al. 1 CPC). En l'espèce, déposé en temps utile par une partie qui y a intérêt (art. 59 al.</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Les recourantes font valoir qu’elles subissent un préjudice irréparable du fait de la présence de l’intimé dans les locaux qu’il occupe illicitement, dès lors que les travaux prévus sur l’immeuble concerné sont programmés et que la démolition est imminente. En outre, en prévision de la bonne exécution des travaux, les recourantes indiquent que le gaz, l’eau et l’électricité seront coupés, ce qui n’est actuellement pas possible en raison de la présence de l’intimé dans l'appartement litigieux. 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Ces conditions présupposent une urgence temporelle et une certaine vraisemblance.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(ATF 131 III 473 c. 2.3, JT 2005 I 305; HohI, op. cit., n. 1773 p. 325 et n. 1840-1843 pp. 335-336). Le dommage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(TF 5D_211/2011 du 30 mars 2012 c. 6.3 et les références citées, destiné à la publication). Parmi les mesures provisionnelles envisageables figurent les mesures d’exécution anticipée provisoires. Certaines peuvent n’avoir qu’un effet provisoire tandis que d’autres ont, en pratique, un effet plus durable, voire définitif, le litige n’ayant alors plus d’intérêt au-delà du stade des mesures provisionnelles.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(TF 5D_211/2011 précité c. 6.4 et les références citées) En l’espèce, l’autorité de première instance a retenu que le bail qui avait lié les parties pour une durée déterminée n’avait pas été prolongé au-delà du 31 décembre 2011 et qu’il avait dès lors pris fin à cette date, de sorte que les requérantes rendaient hautement vraisemblable le bien-fondé de leur droit à obtenir la libération des locaux précités. Au demeurant, selon le témoin B.________, l'appartement occupé par l'intimé, ancien sans domicile fixe, n'était qu'une solution provisoire qui lui avait été présentée comme telle, si bien qu'il savait qu'il devrait le quitter à la fin de la période convenue, soit à fin 2011. Pour le reste, et contrairement à ce que retient le premier juge, les recourantes ont également démontré que la présence de l’intimé dans les locaux qu’il occupe illicitement leur cause un préjudice difficilement réparable. Il résulte ainsi de la décision attaquée que les recourantes ont déposé une demande de permis de démolition et de construction le 13 février 2012 et que l’avis de mise à l’enquête a paru dans la Feuille des avis officiels du canton de Vaud en date du 6 mars 2012. Le premier juge a par ailleurs retenu que les travaux en cause ne pourront pas débuter avant le mois de mai 2012, soit après le départ du dernier locataire. Il n’y a dès lors aucune raison de reporter l’injonction faite à l’intimé de quitter les locaux, dès lors que les autres occupants au bénéfice d’un bail ont quitté les lieux. Les recourantes rendent par ailleurs vraisemblable que les préparatifs des travaux pourront débuter sans délai (cf. déclaration du témoin A.________), de sorte qu’à défaut d’expulsion de l’intimé, elles subiraient un préjudice irréparable. Conformément aux conclusions des recourantes, il y a lieu de prévoir les modalités d’exécution forcée, de manière à permettre l’exécution directe selon les art. 236 al. 3 et 337 al. 1 CPC.</w:t>
      </w:r>
    </w:p>
    <w:p>
      <w:r>
        <w:rPr>
          <w:b/>
        </w:rPr>
        <w:t>E. 4</w:t>
      </w:r>
    </w:p>
    <w:p>
      <w:r>
        <w:t>Il résulte de ce qui précède que le recours doit être admis et l'ordonnance attaquée réformée en ce sens que la requête de mesures provisionnelles est admise et qu'ordre est donné à R.________ de quitter et rendre libres les locaux qu'il occupe [...] à Vevey, d'ici au 20 juillet 2012 au plus tard. A défaut de quitter volontairement les locaux, l'intimé y sera contraint par la force, selon les règles de l'art. 343 al. 1 let. d CPC, étant précisé que l'exécution forcée aura lieu par les soins de l'huissier de paix ou de son remplaçant, sous la présidence du juge de paix, et que l'office pourra pénétrer dans les locaux par voie d'ouverture forcée, les agents de la force publique étant tenus, sur réquisition, de concourir à l'exécution forcée. Les frais judiciaires de deuxième instance sont arrêtés à 400 fr. (art. 69 al. 1 TFJC [tarif des frais judiciaires civils du 28 septembre 2010; RSV 270.11.5] et mis à la charge de l'intimé, qui succombe (art. 106 al. 1 CPC). L'intimé doit verser aux recourantes, solidairement entre elles, la somme de 850 fr. à titre de dépens et de restitution d'avance de frais de deuxième instance (art. 13 TDC [tarif du 23 novembre 2010 des dépens en matière civile; RSV 270.11.6] et art. 111 CPC). Par ces motifs, la Chambre des recours civile du Tribunal cantonal, statuant à huis clos, prononce : I. Le recours est admis. II. L'ordonnance est réformée comme il suit : I. La requête de mesures provisionnelles est admise. II. Ordre est donné à R.________ de quitter et rendre libres les locaux qu'il occupe [...] à Vevey d'ici au 20 juillet 2012 au plus tard. III. A défaut de quitter volontairement ces locaux, il y sera contraint par la force, selon les règles prévues à l'art. 343 al. 1 let. d CPC, étant précisé que : a) l'exécution forcée aura lieu par les soins de l'huissier de paix ou de son remplaçant, sous la présidence du juge de paix ; b) l'office pourra pénétrer dans les locaux objet de cette ordonnance même par voie d'ouverture forcée, les agents de la force publique étant tenus, sur réquisition, de concourir à l'exécution forcée. L'ordonnance est confirmée pour le surplus. III. Les frais judiciaires de deuxième instance, par 400 fr. (quatre cents francs), sont mis à la charge de l'intimé. IV. L'intimé R.________ doit verser aux recourantes K.________ et L.________, solidairement entre elles, la somme de 850 fr. (huit cent cinquante francs) à titre de dépens et de restitution d'avance de frais de deuxième instance. V. L'arrêt motivé est exécutoire. Le président :               La greffière : Du 18 juin 2012 Le dispositif de l'arrêt qui précède est communiqué par écrit aux intéressés. La greffière : Du L'arrêt qui précède, dont la rédaction a été approuvée à huis clos, est notifié en expédition complète, par l'envoi de photocopies, à : ‑ Me Pascal Stouder (pour K.________ et L.________) ‑ R.________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