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384 vom 14. Juni 2012</w:t>
      </w:r>
    </w:p>
    <w:p>
      <w:r>
        <w:t>VD Tribunal cantonal, 2012-06-14, FR</w:t>
      </w:r>
    </w:p>
    <w:p>
      <w:r>
        <w:rPr>
          <w:b/>
        </w:rPr>
        <w:t xml:space="preserve">Quelle: </w:t>
      </w:r>
      <w:r>
        <w:t>https://mcp.opencaselaw.ch/entscheid/vd_findinfo_HC___2012___384</w:t>
      </w:r>
    </w:p>
    <w:p>
      <w:r>
        <w:t>FR: VD_FINDINFO HC / 2012 / 384 du 14 juin 2012</w:t>
      </w:r>
    </w:p>
    <w:p>
      <w:r>
        <w:t>IT: VD_FINDINFO HC / 2012 / 384 del 14 giugno 2012</w:t>
      </w:r>
    </w:p>
    <w:p>
      <w:pPr>
        <w:pStyle w:val="Heading2"/>
      </w:pPr>
      <w:r>
        <w:t>Regeste</w:t>
      </w:r>
    </w:p>
    <w:p>
      <w:r>
        <w:t>DÉTENTION AUX FINS D'EXPULSION, MESURE DE CONTRAINTE{DROIT DES ÉTRANGERS}, PROPORTIONNALITÉ, RISQUE DE FUITE | 76 al. 1 let. b ch. 3 LEtr, 76 al. 1 let. b ch. 4 LEtr, 79 LEtr, 30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 Déposé en temps utile par le recourant, qui y a un intérêt,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w:t>
      </w:r>
    </w:p>
    <w:p>
      <w:r>
        <w:rPr>
          <w:b/>
        </w:rPr>
        <w:t>E. 3</w:t>
      </w:r>
    </w:p>
    <w:p>
      <w:r>
        <w:t>Le juge de paix du district de Lausanne est l'autorité compétente en vertu des art. 17 et 20 LVLEtr. Saisi d'une requête motivée et documentée du SPOP du 14 mai 2012, ce magistrat a procédé à l'audition du recourant le même jour en présence d'un interprète et a résumé ses déclarations dans ce qu'elles avaient d'utile à retenir (art. 21 al. 1 et 2 LVLEtr); l'intéressé a notamment renoncé à faire usage de son droit de demander la désignation d'un conseil d'office. A l'issue de l'audition,le premier juge a immédiatement rendu un ordre de détention et sa décision motivée a été notifiée le 15 mai 2012, soit dans le délai légal de nonante-six heures (art. 16 al. 1 LVLEtr). La procédure suivie ne souffre donc d'aucune irrégularité.</w:t>
      </w:r>
    </w:p>
    <w:p>
      <w:r>
        <w:rPr>
          <w:b/>
        </w:rPr>
        <w:t>E. 4</w:t>
      </w:r>
    </w:p>
    <w:p>
      <w:r>
        <w:t>a) Le recourant soutient que les conditions de détention fixées à l'art. 76 al. 1 let. b ch. 3 et 4 LEtr ne sont pas remplies et qu'il n'y a notamment pas de raison de craindre qu'il cherche à fuir ou à se soustraire à son renvoi, dans la mesure où il invoque les nombreux traumatismes dont il a souffert au cours de ses détentions à l'étranger et où il demande protection et soin en Suisse. Il plaide que la mesure de détention n'est pas proportionnée aux circonstances de son cas. b) Selon l'art. 76 al. 1 let. b ch. 3 LEtr, lorsqu'une décision de renvoi d'expulsion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4 LAsi (loi du 26 juin 1998 sur l'asile, RS 142.31). Elle peut également la placer en détention selon l'art. 276 al. 1 let. b ch. 4 LEtr si son comportement permet de conclure qu'elle se refuse à obtempérer aux instructions des autorités. Ces deux chiffres décrivent des comportements permettant de conclure à l'existence d'un risque de fuite ou de disparition (Unterauchensgefahr)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un faisceau d'indices de soustraction au renvoi (ATF 129 I 139 c. 4.2.1; ATF 130 lI 56 c. 3.1; ATF 125 lI 369 c. 3b/aa; ATF 122 lI 49 c. 2a, rés. In JT 1998 I 95). c) En l'espèce, il ressort du dossier que le recourant a déjà refusé d'embarquer sur le vol fixé le 7 mai 2012 et qu'il a confirmé, lors de son audition par le premier juge le 14 mai 2012, qu'il refusait de quitter la Suisse. On est dès lors manifestement au-delà du simple faisceau d'indices de soustraction au renvoi, de sorte que la détention administrative apparaît justifiée. En outre, il apparaît que le SPOP a sollicité le 15 mai 2012 auprès de l'ODM l'organisation d'un vol spécial à destination de l'Italie. La mesure attaquée respecte dès lors le principe de proportionnalité, dès lors que le refoulement du recourant pourra manifestement être exécuté avant l'échéance du délai maximal de détention de 18 mois prévu par la loi (art. 79 al. 1 et 2 LEtr), et que ce n'est, selon le Tribunal fédéral, que lorsque des raisons sérieuses laissent penser que la mesure ne pourra certainement pas intervenir avant la fin de ce délai qu'une détention est inadmissible sous l'angle de la proportionnalité (TF 2A.548/2003). Enfin, on relèvera que c'est en vain que le recourant fait valoir que ses motifs d'asile n'auraient pas été examinés correctement par les autorités fédérales compétentes, cette question ne pouvant être examinée dans le cadre de la présente procédure, tout comme les motifs personnels invoqués par l'intéressé pour plaider sa mise en liberté et son maintien en Suisse. En définitive, c'est à bon droit que le premier juge a appliqué l'art. 76 al. 1 let. b LEtr et ordonné la mise en détention administrative du recourant, celui-ci ayant démontré par son comportement son refus de se soumettre à son renvoi.</w:t>
      </w:r>
    </w:p>
    <w:p>
      <w:r>
        <w:rPr>
          <w:b/>
        </w:rPr>
        <w:t>E. 5</w:t>
      </w:r>
    </w:p>
    <w:p>
      <w:r>
        <w:t>Le recours doit ainsi être rejeté et l'ordonnance confirmée. Le présent arrêt peut être rendu sans frais ni dépens. Par ces motifs, la Chambre des recours civile du Tribunal cantonal, statuant à huis clos, prononce : I. Le recours est rejeté. II. L'ordonnance est confirmée. III. L'arrêt est rendu sans frais ni dépens. IV. L'arrêt motivé est exécutoire. Le président :               Le greffier : Du 15 juin 2012 Le dispositif de l'arrêt qui précède est communiqué par écrit aux intéressés. Le greffier : Du L'arrêt qui précède, dont la rédaction a été approuvée à huis clos, est notifié en expédition complète, par l'envoi de photocopies, à : ‑ Service d'Aide Juridique aux Exilés SAJE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