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383 vom 6. Juni 2012</w:t>
      </w:r>
    </w:p>
    <w:p>
      <w:r>
        <w:t>VD Tribunal cantonal, 2012-06-06, FR</w:t>
      </w:r>
    </w:p>
    <w:p>
      <w:r>
        <w:rPr>
          <w:b/>
        </w:rPr>
        <w:t xml:space="preserve">Quelle: </w:t>
      </w:r>
      <w:r>
        <w:t>https://mcp.opencaselaw.ch/entscheid/vd_findinfo_HC___2012___383</w:t>
      </w:r>
    </w:p>
    <w:p>
      <w:r>
        <w:t>FR: VD_FINDINFO HC / 2012 / 383 du 6 juin 2012</w:t>
      </w:r>
    </w:p>
    <w:p>
      <w:r>
        <w:t>IT: VD_FINDINFO HC / 2012 / 383 del 6 giugno 2012</w:t>
      </w:r>
    </w:p>
    <w:p>
      <w:pPr>
        <w:pStyle w:val="Heading2"/>
      </w:pPr>
      <w:r>
        <w:t>Regeste</w:t>
      </w:r>
    </w:p>
    <w:p>
      <w:r>
        <w:t>AVANCE DE FRAIS | 103 CPC (CH), 319 let. b ch. 1 CPC (CH), 98 CPC (CH)</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soutient qu’il n’a pas à payer d’avance de frais pour obtenir l’exécution d’une convention dont il demande le respect. Il fait valoir au surplus qu’il est rentier AI et qu’il n’a pas les moyens de s’acquitter de l’avance de frais requise.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Zurich 2010,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in FF 2006, pp. 6905-6906 ; Tappy, op. cit., n. 8 ad art. 98 CPC).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procédures d’exécution, l’émolument forfaitaire, y compris d’éventuelles mesures conservatoires mais non compris les frais d’huissier et de tiers, est fixé entre 150 et 1'800 fr. (art. 82 TFJC). c) En l’espèce, le montant de l’avance de frais exigée par le premier juge a été fixé à 500 francs. Un tel montant respecte les principes énoncés ci-dessus et a dès lors été arrêté correctement. Si le recourant soutient que sa situation financière l’empêche de verser une telle somme, il ne documente pas ses allégations. Il ne fait pas davantage valoir que sa solvabilité serait si notoire que l’on pourrait se passer de lui réclamer une avance de frais (Tappy, op. cit., n. 9 ad art. 98 CPC). Il en découle que le moyen du recourant est mal fondé et qu’il doit être rejeté.</w:t>
      </w:r>
    </w:p>
    <w:p>
      <w:r>
        <w:rPr>
          <w:b/>
        </w:rPr>
        <w:t>E. 4</w:t>
      </w:r>
    </w:p>
    <w:p>
      <w:r>
        <w:t>En conclusion, le recours doit être rejeté en application de l’art. 322 al. 1 CPC et la décision confirmée. Les frais judiciaires de deuxième instance, arrêtés à 100 fr. (art. 69 al. 1 TFJC), sont mis à la charge du recourant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R.________. IV. L’arrêt motivé est exécutoire. Le président :               Le greffier : Du</w:t>
      </w:r>
    </w:p>
    <w:p>
      <w:r>
        <w:rPr>
          <w:b/>
        </w:rPr>
        <w:t>E. 7</w:t>
      </w:r>
    </w:p>
    <w:p>
      <w:r>
        <w:t>juin 2012 Le dispositif de l'arrêt qui précède est communiqué par écrit aux intéressés. Le greffier : Du L'arrêt qui précède, dont la rédaction a été approuvée à huis clos, est notifié en expédition complète, par l'envoi de photocopies, à : ‑ M. R.________ ‑ Me Franck Ammann (pour I.________) La Chambre des recours civile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