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379 vom 9. März 2012</w:t>
      </w:r>
    </w:p>
    <w:p>
      <w:r>
        <w:t>VD Tribunal cantonal, 2012-03-09, FR</w:t>
      </w:r>
    </w:p>
    <w:p>
      <w:r>
        <w:rPr>
          <w:b/>
        </w:rPr>
        <w:t xml:space="preserve">Quelle: </w:t>
      </w:r>
      <w:r>
        <w:t>https://mcp.opencaselaw.ch/entscheid/vd_findinfo_HC___2012___379</w:t>
      </w:r>
    </w:p>
    <w:p>
      <w:r>
        <w:t>FR: VD_FINDINFO HC / 2012 / 379 du 9 mars 2012</w:t>
      </w:r>
    </w:p>
    <w:p>
      <w:r>
        <w:t>IT: VD_FINDINFO HC / 2012 / 379 del 9 marzo 2012</w:t>
      </w:r>
    </w:p>
    <w:p>
      <w:pPr>
        <w:pStyle w:val="Heading2"/>
      </w:pPr>
      <w:r>
        <w:t>Regeste</w:t>
      </w:r>
    </w:p>
    <w:p>
      <w:r>
        <w:t>INDEMNITÉ{EN GÉNÉRAL}, AVOCAT D'OFFICE, AVOCAT, STAGE | 122 al. 1 let. a CPC (CH), 2 al. 1 RAJ</w:t>
      </w:r>
    </w:p>
    <w:p>
      <w:pPr>
        <w:pStyle w:val="Heading2"/>
      </w:pPr>
      <w:r>
        <w:t>Erwägungen</w:t>
      </w:r>
    </w:p>
    <w:p>
      <w:r>
        <w:rPr>
          <w:b/>
        </w:rPr>
        <w:t>E. 1</w:t>
      </w:r>
    </w:p>
    <w:p>
      <w:r>
        <w:t>La décision entreprise a été communiquée le 16 décembre 2011, de sorte que les voies de droit sont régies par le CPC (Code de procédure civile du 19 décembre 2008; RS 272), entré en vigueur le 1 er janvier 2011 (art. 405 al. 1 CPC).</w:t>
      </w:r>
    </w:p>
    <w:p>
      <w:r>
        <w:rPr>
          <w:b/>
        </w:rPr>
        <w:t>E. 2</w:t>
      </w:r>
    </w:p>
    <w:p>
      <w:r>
        <w:t>a) A teneur de l'art. 110 CPC, la décision sur les frais ne peut être attaquée séparément que par un recours. Les recours est dès lors ouvert en vertu de l'art. 319 let. a CPC. b)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10 jours (art. 321 al. 2 CPC). Dans la mesure où sa propre situation est affectée en raison du remboursement prévu à l'art. 123 CPC, le bénéficiaire de l'assistance judiciaire dispose à titre personnel d'un droit de recours au sujet de la rémunération équitable accordée selon l'art. 122 al. 1 let. a CPC (Tappy, in CPC commenté, Bâle 2011, n. 22 ad art. 122 CPC et réf. citées). c) En l'espèce, déposé en temps utile par une partie qui y a un intérêt, le recours est recevable. On peut préciser encore que pour les motifs indiqués par le Président du Tribunal d'arrondissement de la Côte dans ses déterminations du 2 février 2012 , la recourante n'a été en mesure de contester la fixation des honoraires de son précédent conseil qu'à partir de la communication faite le 12 janvier 2012.</w:t>
      </w:r>
    </w:p>
    <w:p>
      <w:r>
        <w:rPr>
          <w:b/>
        </w:rPr>
        <w:t>E. 3</w:t>
      </w:r>
    </w:p>
    <w:p>
      <w:r>
        <w:t>a) Le recours est recevable pour violation du droit (art. 320 let. a CPC) et constatation manifestement inexacte des faits (art. 320 let. b CPC).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w:t>
      </w:r>
    </w:p>
    <w:p>
      <w:r>
        <w:rPr>
          <w:b/>
        </w:rPr>
        <w:t>E. 6</w:t>
      </w:r>
    </w:p>
    <w:p>
      <w:r>
        <w:t>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Les pièces produites à l'appui du recours qui ne figurent pas au dossier, soit les pièces 1 et 2, ne sont pas recevables (art. 326 al. 1 CPC). En ce qui concerne le "time-sheet" de  Me W.________, il ne s'agit pas d'un moyen de preuve nouveau puisque cette pièce était annoncée comme annexée à la liste des opérations produite le 5 octobre 2011. Sa production a été requise auprès du premier juge afin de compléter le dossier de la cause et cette pièce est dès lors recevable. 4. a) La recourante se plaint du montant de l'indemnité AJ accordée à son précédent conseil, faisant valoir que le montant arrêté par le premier juge est exagéré, compte tenu du fait qu'elle n'a eu affaire qu'à sa stagiaire, Me Mathilde Bessonet, et qu'il est fort probable que les opérations n'aient pas été calculées au tarif horaire de 110 fr. b) L'art. 2 al. 1 RAJ (règlement du 7 décembre 2010 sur l'assistance judiciaire en matière civile; RSV 211.02.3) prévoit que le conseil juridique commis d'office a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Cette disposition codifie la jurisprudence antérieure rendue sous l'empire de l'ancienne loi sur l'assistance judiciaire. Pour fixer la quotité de l'indemnité, l'autorité cantonale doit s'inspirer des critères applicables à la modération des honoraires d'avocat (arrêt du Tribunal fédéral non publié B. du 24 avril 1997; ATF 122 I 1 c. 3a; arrêt du Tribunal fédéral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117 la 22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Pdt TC 23 juillet 2001/37). c/aa) En l’espèce, les déterminations du premier juge montrent qu’il y a effectivement eu une erreur dans la facturation des opérations, l’ensemble des heures ayant été compté à 180 fr. alors même que selon le "time-sheet" produit ultérieurement au recours 8.95 heures ont été effectuées par le conseil d’office et 28.05 heures par l'avocate-stagiaire. Ainsi les honoraires s’élèvent à 1’611 fr par l'activité de l'avocat et à 3085 fr. 50 pour l’activité de l'avocate-stagiaire, ce qui totalise 4’696 fr. 50 que l'on peut arrondir à 4'700 fr. auxquels s’ajoute les débours par 100 fr. – par ailleurs non contestés – ainsi que la TVA à un taux de 8%. Il résulte d’ailleurs du "time-sheet" que les heures ont été facturées par le conseil d’office à des tarifs horaires différents selon les montants retenus ci-dessus. bb) La recourante ne prend aucune conclusion suffisamment explicite quant au nombre d'heures retenues par le premier juge. Toutefois, on peut se borner à observer que si cette dernière prétend ne jamais avoir eu de contact avec le conseil désigné d'office, ce qui ne résulte de toute manière pas de la décision attaquée, ce dernier devait orienter et superviser le travail de son avocate-stagiaire, ce qui justifie le nombre d'heures annoncées, au demeurant largement inférieur à la durée de l’activité de l’avocate-stagiaire. Le nombre d’heures total apparaît ainsi justifié, compte tenu de l’activité déployée par le conseil d’office et sa stagiaire. 5. Le recours doit ainsi être admis, le total de l’indemnité AJ étant arrêté à 5'184 fr., débours par 100 fr. et TVA à 8% (384 fr.) compris. La recourante a sollicité l'assistance judiciaire et a été de ce fait dispensée de l'avance de frais. Il n'y a pas lieu de se prononcer sur sa requête puisqu'elle obtient gain de cause et que les frais ne sauraient être mis à sa charge. En outre, elle a agi seule dans le cadre de la procédure de recours. Les frais ne sauraient non plus être mis à la charge de l'intimé qui s'est borné à se référer à son "time-sheet", lequel comportait par ailleurs des indications exactes et qui ont été retenues dans la présente décision. Selon l'art. 107 al. 2 CPC, les frais judiciaires qui ne sont pas imputables aux parties ni aux tiers peuvent être mis à la charge du canton si l’équité l’exige. De même que pour l'art. 66 LTF, cela se justifie notamment quand un recours a été nécessaire pour corriger une erreur du premier juge dont on ne saurait tenir l'autre partie pour responsable (Corboz, op. cit., n. 20 ad art. 66 LTF, pp. 491-491, cité par Tappy, op. cit., n. 37 ad art. 107 CPC, pp. 426-427). En l'espèce, les frais, arrêtés à 200 fr., doivent être laissés à la charge de l'Etat, conformément à l'art. 107 al. 2 CPC. Dès lors que la partie intimée s'est contentée de se référer à son "time-sheet", il ne se justifie pas d'allouer des dépens à la recourante (art. 106 al. 1 CPC a contrario ). Au surplus, la recourante a agi sans l'assistance d'un mandataire professionnel. Par ces motifs, la Chambre des recours civile du Tribunal cantonal, statuant à huis clos, prononce : I. Le recours est admis. II. La décision est réformée en ce sens que les honoraires et débours dus à Me Y.________ dans le cadre de la procédure de divorce opposant [...] à Y.________ sont arrêtés à 5'184 fr. (cinq mille cent huitante-quatre francs), TVA et débours compris. III. Les frais d'arrêt, par 200 fr. (deux cents francs), sont laissés à la charge de l'Etat. IV. L'arrêt motivé est exécutoire. Le président :               Le greffier : Du 12 mars 2012 Le dispositif de l'arrêt qui précède est communiqué par écrit aux intéressés. Le greffier : Du L'arrêt qui précède, dont la rédaction a été approuvée à huis clos, est notifié en expédition complète, par l'envoi de photocopies, à : ‑ Mme Y.________, ‑ Me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