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366 vom 9. Mai 2012</w:t>
      </w:r>
    </w:p>
    <w:p>
      <w:r>
        <w:t>VD Tribunal cantonal, 2012-05-09, FR</w:t>
      </w:r>
    </w:p>
    <w:p>
      <w:r>
        <w:rPr>
          <w:b/>
        </w:rPr>
        <w:t xml:space="preserve">Quelle: </w:t>
      </w:r>
      <w:r>
        <w:t>https://mcp.opencaselaw.ch/entscheid/vd_findinfo_HC___2012___366</w:t>
      </w:r>
    </w:p>
    <w:p>
      <w:r>
        <w:t>FR: VD_FINDINFO HC / 2012 / 366 du 9 mai 2012</w:t>
      </w:r>
    </w:p>
    <w:p>
      <w:r>
        <w:t>IT: VD_FINDINFO HC / 2012 / 366 del 9 maggio 2012</w:t>
      </w:r>
    </w:p>
    <w:p>
      <w:pPr>
        <w:pStyle w:val="Heading2"/>
      </w:pPr>
      <w:r>
        <w:t>Regeste</w:t>
      </w:r>
    </w:p>
    <w:p>
      <w:r>
        <w:t>DROIT DE GARDE, OBLIGATION D'ENTRETIEN, LOGEMENT DE LA FAMILLE | 163 CC, 176 al. 1 CC, 308 al. 1 CPC, 312 CPC</w:t>
      </w:r>
    </w:p>
    <w:p>
      <w:pPr>
        <w:pStyle w:val="Heading2"/>
      </w:pPr>
      <w:r>
        <w:t>Erwägungen</w:t>
      </w:r>
    </w:p>
    <w:p>
      <w:r>
        <w:rPr>
          <w:b/>
        </w:rPr>
        <w:t>E. 1</w:t>
      </w:r>
    </w:p>
    <w:p>
      <w:r>
        <w:t>La voie de l'appel est ouverte contre les prononcés de mesures protectrices de l'union conjugale, qui doivent être considérés comme des ordonnances de mesures provisionnelles (art. 308 al. 1 let. b CPC [Code de procédure civile du 19 décembre 2008; RS 272) dans les causes non patrimoniales ou dont la valeur litigieuse dépasse 10'000 fr. (art. 308 al. 2 CPC). Les prononcés de  mesures protectrices de l'union conjugale étant régis par la procédure sommaire, selon les art. 248 let. d et 271 CPC par renvoi de l'art. 276 CPC pour les procédures matrimoniales, le délai d'appel est de dix jours (art. 314 al. 1 CPC [TF 5A_704/2011 du 23 février 2012]). Interjeté en temps utile par une personne qui y a intérêt (art. 59 al. 2 let. a CPC) et portant sur des conclusions qui, capitalisées selon l'art. 92 al. 2 CPC sont supérieures à 10'000 francs, l'appel est recevable (art. 311 CPC).</w:t>
      </w:r>
    </w:p>
    <w:p>
      <w:r>
        <w:rPr>
          <w:b/>
        </w:rPr>
        <w:t>E. 2.1</w:t>
      </w:r>
    </w:p>
    <w:p>
      <w:r>
        <w:t>L'appel en matière de protection de l'union conjugale relève de la compétence du juge unique (art. 84 al. 2 LOJV [loi du 12 décembre 1979 d'organisation judiciaire; RSV 173.01]).</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(sur le tout : JT 2011 III 43 et les références citées)</w:t>
      </w:r>
    </w:p>
    <w:p>
      <w:r>
        <w:rPr>
          <w:b/>
        </w:rPr>
        <w:t>E. 2.3</w:t>
      </w:r>
    </w:p>
    <w:p>
      <w:r>
        <w:t>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w:t>
      </w:r>
    </w:p>
    <w:p>
      <w:r>
        <w:rPr>
          <w:b/>
        </w:rPr>
        <w:t>E. 2.4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l'occurrence, R.________ n'a pas produit de pièce à l'appui de son appel. Enfin, n'étant pas nouvelles, ses conclusions sont recevables (art. 317 al. 2 CPC).</w:t>
      </w:r>
    </w:p>
    <w:p>
      <w:r>
        <w:rPr>
          <w:b/>
        </w:rPr>
        <w:t>E. 3.1</w:t>
      </w:r>
    </w:p>
    <w:p>
      <w:r>
        <w:t>L'appelant conteste que la garde sur l'enfant [...] soit attribuée à l'intimée. Il cite de nombreux extraits de procès-verbaux de témoignages qui démontreraient, selon lui, que C.________ s'occupe de manière négligente de sa fille. Ainsi, elle ne prendrait pas le temps de conduire [...] à l'école et de manger avec elle à midi, préférant s'adonner au fitness. Par ailleurs, l'appelant aurait le temps nécessaire pour s'occuper de sa fille et il serait en définitive dans l'intérêt de l'enfant que la garde lui soit confiée.</w:t>
      </w:r>
    </w:p>
    <w:p>
      <w:r>
        <w:rPr>
          <w:b/>
        </w:rPr>
        <w:t>E. 3.2</w:t>
      </w:r>
    </w:p>
    <w:p>
      <w:r>
        <w:t>En vertu de l'art. 176 al. 3 CC (Code civil suisse du 10 décembre 1907; RS 210), relatif à l'organisation de la vie séparée, lorsque les époux ont des enfants mineurs, le juge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Code civil I, n. 19 ad art. 176 CC; Bräm, Zürcher Kommentar, nn. 89 et 101 ad art. 176 CC; TF 5A_742/2008 du 22 janvier 2009 c. 3.1 publié in FamPra.ch 2009 p. 509; TF 5A_495/2008 du 30 octobre 2008 c. 3.1 publié in FamPra.ch 2009 p. 238).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En cas de capacités éducatives équivalentes des père et mère, l'enfant est attribué au parent qui présente les meilleures disponibilités pour s'occuper personnellement de lui. En cas de disponibilités équivalentes des parents, la stabilité de la situation pour l'enfant est déterminante. D'autres critères (capacité de collaborer avec l'autre parent, lien personnel spécial, etc.) peuvent entrer en ligne de compte, sans hiérarchie entre eux (TF 5A_602/2011 du 10 novembre 2011, c. 2.2).</w:t>
      </w:r>
    </w:p>
    <w:p>
      <w:r>
        <w:rPr>
          <w:b/>
        </w:rPr>
        <w:t>E. 3.3</w:t>
      </w:r>
    </w:p>
    <w:p>
      <w:r>
        <w:t>En l'espèce, les témoignages cités par l'appelant n'ont pas la portée qu'il voudrait leur conférer. En effet, aucun témoin n'a fait état de manière explicite d'un comportement de l'intimée qui pourrait laisser croire qu'elle ne dispose pas des capacités éducatives suffisantes pour s'occuper de son enfant. Les accusations de l'appelant reposent en réalité sur ses seules déductions. Il en va ainsi du fait que [...] est parfois accompagnée par des tiers pour se rendre à l'école, ainsi par exemple par l'ex-mari de l'intimée. Il n'est d'ailleurs pas rare qu'une telle tâche soit déléguée à des tiers, comme par exemple dans le cadre d'une organisation de voisinage pour un système "pédibus". L'appelant n'affirme d'ailleurs pas que [...] serait livrée à elle-même pour aller à l'école. Il n'y a donc rien à cet égard qui devrait conduire à une décision différente de celle du premier juge. Pour le surplus, les appréciations générales négatives sur le compte de l'intimée ne reposent guère que sur les déclarations du père de l'enfant, qui n'ont évidemment qu'une portée probatoire très limitée. Le premier juge a donc examiné de manière adéquate les critères permettant de confier la garde de la fillette à l'intimée, à savoir une capacité éducative suffisante et une disponibilité plus importante que celle de l'appelant pour s'occuper de [...], même si ce dernier dispose également des capacités parentales nécessaires. Le premier grief doit donc être rejeté.</w:t>
      </w:r>
    </w:p>
    <w:p>
      <w:r>
        <w:rPr>
          <w:b/>
        </w:rPr>
        <w:t>E. 4.1</w:t>
      </w:r>
    </w:p>
    <w:p>
      <w:r>
        <w:t>L'appelant conteste ensuite l'attribution du domicile conjugal à l'intimée. Il fonde sa conclusion sur l'obtention de la garde de [...].</w:t>
      </w:r>
    </w:p>
    <w:p>
      <w:r>
        <w:rPr>
          <w:b/>
        </w:rPr>
        <w:t>E. 4.2</w:t>
      </w:r>
    </w:p>
    <w:p>
      <w:r>
        <w:t>Le juge des mesures protectrices de l'union conjugale tranche la question de l'attribution provisoire du logement conjugal en fonction de l'opportunité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(TF 5A_575/2011 du 12 octobre 2011 c. 5.1; TF 5A_766/2008 du 4 février 2009 c. 3 publié in JT 2010 I 341; ATF 120 II 1 c. 2c).</w:t>
      </w:r>
    </w:p>
    <w:p>
      <w:r>
        <w:rPr>
          <w:b/>
        </w:rPr>
        <w:t>E. 4.3</w:t>
      </w:r>
    </w:p>
    <w:p>
      <w:r>
        <w:t>En l'espèce, dès lors que la garde de Soraya est confiée à sa mère, il doit en aller de même de l'attribution du logement conjugal. Le deuxième grief doit aussi être rejeté.</w:t>
      </w:r>
    </w:p>
    <w:p>
      <w:r>
        <w:rPr>
          <w:b/>
        </w:rPr>
        <w:t>E. 5.1</w:t>
      </w:r>
    </w:p>
    <w:p>
      <w:r>
        <w:t>L'appelant estime ensuite qu'un revenu hypothétique doit être imputé à son épouse ou à tout le moins que la contribution d'entretien qu'il devrait verser tienne compte d'indemnités de chômage que l'intimée serait en droit de percevoir.</w:t>
      </w:r>
    </w:p>
    <w:p>
      <w:r>
        <w:rPr>
          <w:b/>
        </w:rPr>
        <w:t>E. 5.2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 dont on peut raisonnablement exiger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4c. c. 4c/bb; 126 III 10 c. 2b). Pour arrêter le montant du salaire, le juge peut éventuellement se baser sur l'enquête suisse sur la structure des salaires, réalisés par l'Office fédérale de la statistique, ou sur d'autres sources (conventions collectives de travail; Philippe Mühlhauser, Das Lohnbuch 2010, Mindestlöhne sowie orts- und berufübliche Löhne in der Schweiz, Zurich 2010; ATF 137 III 118 c. 3.2; TF 5AY99/2011 du 26 septembre 2011 c. 7.4.1 destiné à la publication).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ATF 114 II 301 c. 3a). Si le débiteur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En particulier,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(ATF 115 II 6 c. 3c).</w:t>
      </w:r>
    </w:p>
    <w:p>
      <w:r>
        <w:rPr>
          <w:b/>
        </w:rPr>
        <w:t>E. 5.3</w:t>
      </w:r>
    </w:p>
    <w:p>
      <w:r>
        <w:t>En l'espèce, C.________ n'a achevé aucune formation professionnelle et n'a jamais travaillé, du moins depuis la naissance de son premier enfant en 1992. [...] n'étant âgée que de huit ans, on ne saurait exiger en l'état de l'intimée qu'elle reprenne un emploi. Concernant les éventuelles indemnités de chômage, elles sont subsidiaires au devoir d'entretien (TF 5A_158/2010 du 25 mars 2010 c. 3.2; TF 5A_2007 du 27 juin 2007 c. 4, publié in FamPra.ch 2007 p. 895 et les références). Quant aux pensions que l'intimée perçoit de son ex-mari, elles sont destinées à l'entretien de leurs trois enfants et ne modifient quoi qu'il en soit pas la charge immobilière de l'intimée comme copropriétaire de l'immeuble qu'elle occupe. Il s'ensuite que ce grief doit également être rejeté.</w:t>
      </w:r>
    </w:p>
    <w:p>
      <w:r>
        <w:rPr>
          <w:b/>
        </w:rPr>
        <w:t>E. 6</w:t>
      </w:r>
    </w:p>
    <w:p>
      <w:r>
        <w:t>L'appelant conteste enfin la façon dont ses charges incompressibles ont été prises en compte, en particulier les impôts du couple, et se prévaut de la baisse drastique de ses revenus dès fin juin 2012. Si les moyens des parties sont limités par rapport aux besoins vitaux, il n'y a pas lieu de prendre en considération les impôts courants, qui ne font pas partie des besoins vitaux (ATF 127 III 289 c. 2a/bb, 126 III 353 c. 1a/aa; BISchk 2009, ch. III p. 199). Il s'ensuit que la charge fiscale de l'appelant, dont on ignore du reste le montant puisque les mensualités alléguées concernent le couple et que l'intimée sera tenue d'y participer, doit être exclue du minimum d'existence. S'agissant des charges incompressibles telles que retenues ci-dessus sous chiffre 6, il y a lieu de préciser que le montant des primes de l'assurance 3 ème pilier n'a pas à été pris en compte, car il s'agit de montants servant à la constitution du patrimoine (TF 5A_608/2011 du 13 décembre 2011 c. 6.2.5). Enfin, seul le salaire perçu chaque mois a été pris en considération dès lors que l'appelant a été licencié pour le 30 juin 2012 et ne percevra qu'une part du treizième salaire. Pour le surplus, l'appelant pourra agir en modification de la contribution, s'il ne parvient pas à retrouver prochainement un emploi rémunéré de façon équivalente. Il en résulte que l'appel doit être rejeté.</w:t>
      </w:r>
    </w:p>
    <w:p>
      <w:r>
        <w:rPr>
          <w:b/>
        </w:rPr>
        <w:t>E. 7</w:t>
      </w:r>
    </w:p>
    <w:p>
      <w:r>
        <w:t>En conclusion, l'appel d'R.________ doit être rejeté et le prononcé querellé confirmé.</w:t>
      </w:r>
    </w:p>
    <w:p>
      <w:r>
        <w:rPr>
          <w:b/>
        </w:rPr>
        <w:t>E. 8</w:t>
      </w:r>
    </w:p>
    <w:p>
      <w:r>
        <w:t>Les frais judiciaires de l'appelant, arrêtés à 1'200 fr. (art. 65 al. 2 et 3 TFJC [tarif des frais judiciaires civils du 28 septembre 2010; RSV 270.11.5]) sont mis à la charge de l'appelant qui succombe (art. 106 al. 1 CPC). Il n'y a pas lieu d'allouer de dépens à l'intimée, qui n'a pas été invitée à se déterminer. Par ces motifs, le juge délégué de la Cour d’appel civile du Tribunal cantonal, statuant à huis clos, en application de l'art. 312 al. 1 CPC, prononce : I. L’appel est rejeté. II. Le prononcé est confirmé. III. Les frais judiciaires de deuxième instance, arrêtés à 1'200 fr. (mille deux cents francs), sont mis à la charge d'R.________. IV. L'arrêt motivé est exécutoire. Le juge délégué : Le greffier Du</w:t>
      </w:r>
    </w:p>
    <w:p>
      <w:r>
        <w:rPr>
          <w:b/>
        </w:rPr>
        <w:t>E. 10</w:t>
      </w:r>
    </w:p>
    <w:p>
      <w:r>
        <w:t>mai 2012 Le dispositif de l'arrêt qui précède est communiqué par écrit aux intéressés. Le greffier : Du L'arrêt qui précède, dont la rédaction a été approuvée à huis clos, est notifié en expédition complète, par l'envoi de photocopies, à : ‑ Me Bertrand Pariat (R.________), ‑ Me Patricia Michellod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