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353 vom 30. Mai 2012</w:t>
      </w:r>
    </w:p>
    <w:p>
      <w:r>
        <w:t>VD Tribunal cantonal, 2012-05-30, FR</w:t>
      </w:r>
    </w:p>
    <w:p>
      <w:r>
        <w:rPr>
          <w:b/>
        </w:rPr>
        <w:t xml:space="preserve">Quelle: </w:t>
      </w:r>
      <w:r>
        <w:t>https://mcp.opencaselaw.ch/entscheid/vd_findinfo_HC___2012___353</w:t>
      </w:r>
    </w:p>
    <w:p>
      <w:r>
        <w:t>FR: VD_FINDINFO HC / 2012 / 353 du 30 mai 2012</w:t>
      </w:r>
    </w:p>
    <w:p>
      <w:r>
        <w:t>IT: VD_FINDINFO HC / 2012 / 353 del 30 maggio 2012</w:t>
      </w:r>
    </w:p>
    <w:p>
      <w:pPr>
        <w:pStyle w:val="Heading2"/>
      </w:pPr>
      <w:r>
        <w:t>Regeste</w:t>
      </w:r>
    </w:p>
    <w:p>
      <w:r>
        <w:t>PROCÉDURE DE CONCILIATION, RECOURS EN MATIÈRE CIVILE | 209 CPC (CH), 319 let. b ch. 2 CPC (CH)</w:t>
      </w:r>
    </w:p>
    <w:p>
      <w:pPr>
        <w:pStyle w:val="Heading2"/>
      </w:pPr>
      <w:r>
        <w:t>Erwägungen</w:t>
      </w:r>
    </w:p>
    <w:p>
      <w:r>
        <w:rPr>
          <w:b/>
        </w:rPr>
        <w:t>E. 1</w:t>
      </w:r>
    </w:p>
    <w:p>
      <w:r>
        <w:t>a) Il convient en premier lieu d’examiner la recevabilité du recours au regard de l’art. 319 CPC (Code de procédure civile du 19 décembre 2008, RS 272).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 peuvent causer un préjudice difficilement réparable (let. b ch. 2). Selon la jurisprudence de la cour de céans, la notion de préjudice difficilement réparable vise un inconvénient de nature juridique ou des désavantages de fait, la notion devant toutefois être interprétée de manière exigeante, voire restrictive, sous peine d’ouvrir le recours à toute décision ou ordonnance d’instruction, ce que le législateur a clairement exclu (CREC 22 mars 2012/117). Contrairement aux cas où le recours est expressément prévu par la loi, notamment l’art. 110 CPC qui prévoit un recours séparé en matière de frais, le Code de procédure civile ne prévoit pas une telle voie contre l’autorisation de procéder selon l’art. 209 CPC. La recevabilité du recours contre un tel acte est donc subordonnée à l’existence d’un préjudice difficilement réparable au regard de l’art. 319 let. b ch.</w:t>
      </w:r>
    </w:p>
    <w:p>
      <w:r>
        <w:rPr>
          <w:b/>
        </w:rPr>
        <w:t>E. 2</w:t>
      </w:r>
    </w:p>
    <w:p>
      <w:r>
        <w:t>Au vu de ce qui précède, le recours doit être déclaré irrecevable au regard de l’art. 322 al. 1 CPC, et la décision querellée confirmée. L’arrêt peut être rendu sans frais (art. 10 TFJC [tarif des frais judiciaires civils du 28 septembre 2010, RSV 270.11.5]).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 X.________, ‑ Me Robert Fox (pour P.________).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