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350 vom 28. März 2012</w:t>
      </w:r>
    </w:p>
    <w:p>
      <w:r>
        <w:t>VD Tribunal cantonal, 2012-03-28, FR</w:t>
      </w:r>
    </w:p>
    <w:p>
      <w:r>
        <w:rPr>
          <w:b/>
        </w:rPr>
        <w:t xml:space="preserve">Quelle: </w:t>
      </w:r>
      <w:r>
        <w:t>https://mcp.opencaselaw.ch/entscheid/vd_findinfo_HC___2012___350</w:t>
      </w:r>
    </w:p>
    <w:p>
      <w:r>
        <w:t>FR: VD_FINDINFO HC / 2012 / 350 du 28 mars 2012</w:t>
      </w:r>
    </w:p>
    <w:p>
      <w:r>
        <w:t>IT: VD_FINDINFO HC / 2012 / 350 del 28 marzo 2012</w:t>
      </w:r>
    </w:p>
    <w:p>
      <w:pPr>
        <w:pStyle w:val="Heading2"/>
      </w:pPr>
      <w:r>
        <w:t>Regeste</w:t>
      </w:r>
    </w:p>
    <w:p>
      <w:r>
        <w:t>DIVORCE, OBLIGATION D'ENTRETIEN, PERSONNE DIVORCÉE, ENFANT, REVENU HYPOTHÉTIQUE, ACTIVITÉ LUCRATIVE INDÉPENDANTE | 125 al. 1 CC, 125 CC, 285 al. 1 CC, 285 CC</w:t>
      </w:r>
    </w:p>
    <w:p>
      <w:pPr>
        <w:pStyle w:val="Heading2"/>
      </w:pPr>
      <w:r>
        <w:t>Erwägungen</w:t>
      </w:r>
    </w:p>
    <w:p>
      <w:r>
        <w:rPr>
          <w:b/>
        </w:rPr>
        <w:t>E. 4</w:t>
      </w:r>
    </w:p>
    <w:p>
      <w:r>
        <w:t>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non publié aux ATF 137 III 604).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2010; ATF 137 III 118 c. 3.2; TF 5A_99/2011 précité c. 7.4.1). Lorsque le débirentier diminue volontairement son revenu alors qu'il savait ou devait savoir qu'il lui incombait d'assumer des obligations d'entretien, il n'apparaît pas insoutenable, comme le propose une partie de la doctrine de lui imputer le revenu qu'il gagnait précédemment, ce avec effet rétroactif au jour de la diminution (TF 5A_317/2011 du 22 novembre 2011 c. 6.2., non publié in ATF 137 III 614). Pour savoir si l’on peut imputer l’ancien revenu comme revenu hypothétique, il faut néanmoins examiner si le conjoint a toujours la possibilité d'obtenir encore le même revenu, en faisant preuve de bonne volonté et en accomplissant l'effort que l'on peut exiger de lui (question de droit, TF 5A_290/2010 du 28 octobre 2010, publié in SJ 2011 I 177). Le Tribunal fédéral a encore précisé dans un arrêt récent que ce qui est déterminant, c'est de savoir s’il peut être raisonnablement exigé du débirentier qu’il continue d’exercer son activité pour remplir ses obligations d'entretien sans que l’on se demande si c’est par caprice ou représailles qu’il y a renoncé (TF 5A_612/2011 du 27 février 2012 c. 2.1). b) En l’espèce, l’appelant est au bénéfice d’un certificat fédéral de capacité d’employé de commerce. Durant la vie commune, il a fait l’acquisition de deux établissements publics, puis a travaillé comme gérant d’établissement pour le compte d’un tiers, gagnant 7'263 fr. net, part au treizième salaire comprise, jusqu’en février 2007 (prononcé de mesures protectrices de l'union conjugale du 29 juin 2007). Il a ensuite bénéficié d’une indemnité mensuelle de la part du chômage de 6'308 fr. et ce jusqu’en septembre 2008 (prononcé de mesures protectrices de l'union conjugale du</w:t>
      </w:r>
    </w:p>
    <w:p>
      <w:r>
        <w:rPr>
          <w:b/>
        </w:rPr>
        <w:t>E. 9</w:t>
      </w:r>
    </w:p>
    <w:p>
      <w:r>
        <w:t>avril 2009). Par la suite, il s’est lancé dans la vente de pièces de rechange dans le modélisme et il exploite son entreprise individuelle inscrite le 9 décembre 2009 au registre du commerce depuis lors. Si l’on se réfère aux tabelles de l’Office fédéral de la statistique, le salaire mensuel brut moyen dans le secteur des activités commerciales et administratives pour les hommes qui bénéficient de connaissances professionnelles spécialisées sans toutefois prétendre être très qualifiés, est de 6'656 fr. (Annuaire statistique de la Suisse 2010, Salaire mensuel brut selon le domaine d’activité, le niveau des qualifications requises pour le poste de travail et le sexe, p. 109). Compte tenu du cursus de l’appelant, du salaire qu’il a été en mesure de réaliser pendant l’union conjugale, du montant des indemnités de chômage qu’il a perçues ensuite, on peut lui imputer un revenu hypothétique de 6'000 fr., ce qui correspond au montant retenu par les premiers juges comme salaire d’indépendant. Tenu à l’entretien de ses deux filles et de son ex-conjointe, l’appelant ne peut se contenter de constater que son choix professionnel ne lui permet pas de réaliser les revenus qu’il espérait et doit tout mettre en œuvre faire face à ses obligations, ce qui est objectivement réalisable. L’appelant n’indique d’ailleurs pas avoir pris vainement des mesures pour améliorer sa situation financière. La cour de céans doit ainsi imputer un revenu hypothétique de 6'000 fr. à l’appelant, conformément au revenu retenu par les premiers juges mais par substitution de motifs. L'appel doit être rejeté sur ce point. 5. L’appelant conteste le montant de la contribution d’entretien allouée en faveur des enfants.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SJ 2007 II 77, spéc. p. 107 s.; RSJ 1984 p. 392 n° 4 et note p. 393; Meier/Stettler, Droit de la filiation, 4 e éd., 2009, n. 978, pp. 567-568; TF 5A_84/2007 du 18 septembre 2007 c. 5.1, reproduit in Revue du droit de la tutelle 2007, p. 299). En l’espèce, les premiers juges ont appliqué la règle des 25 %, laquelle n’est pas contestée par l’appelant. C’est dès lors à bon droit, compte tenu du revenu de l’appelant, que les pensions en faveur de ses filles C.X.________ et D.X.________ ont été arrêtées à 750 fr. pour le premier palier et augmentées par la suite. L'appel doit être rejeté sur ce point. 6. a) L’appelant conteste devoir une pension en faveur de son ex-épouse. Il estime que le train de vie des parties a été mal apprécié par les premiers juges dès lors que le revenu de 7'263 fr. dont il a été tenu compte n’a été effectif que depuis la reprise de l’établissement par un tiers, soit deux mois avant la séparation des parties. Il fait valoir que le calcul du minimum vital de l’intimée a été fait de manière erronée car son loyer est acquitté par un tiers, ce qu’elle a expressément reconnu et qu’elle n’a pas de frais de garde à assumer, dès lors qu’elle était au chômage. Il expose que l'intimée a en outre une pleine capacité de travail dès lors que l’enfant D.X.________ est autonome, malgré son handicap, et qu’elle est âgée de trente-neuf ans, l'allocation d'une contribution d'entretien dans ces circonstances violant le principe du "clean break". L’intimée prétend que la pension allouée par les premiers juges ne lui permet pas même de couvrir son minimum vital. S’agissant du paiement de son loyer, elle explique que c’est au motif que l’appelant ne s’est pas acquitté régulièrement de la contribution d’entretien qu’elle a dû requérir l’aide d’un tiers et qu’il s’agit d’un prêt remboursable. Elle soutient que le loyer hypothétique de 1'500 fr. arrêté par les premiers juges n’est pas réaliste compte tenu du marché. Enfin, elle relève que l’appelant méconnaît gravement la jurisprudence du Tribunal fédéral en soutenant qu'elle doit travailler à 100 % alors même que ses filles sont âgées de six et onze ans. b/aa)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d'entretien en faveur de l'ex-conjoint est due si le mariage a concrètement influencé la situation financière de l'époux crédirentier ("lebensprägend") et que celui-ci n'est pas en mesure de subvenir à son entretien (ATF 137 III 102 c. 4.1.2; ATF 134 III 145 c. 4). Si le mariage a au moins duré dix ans – période à calculer jusqu'à la date de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les références citées).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1er octobre 2007 c. 4), ou en présence d'un déracinement culturel (TF 5A_275/2009 du 25 novembre 2009 c. 2.1; TF 5C.38/2007 du 28 juin 2007, c. 2.8 in FamPra.ch 2007 p. 930).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bb) En l’espèce, il est constant que le mariage a concrètement influencé la situation des conjoints, ne serait-ce qu’en raison de la présence de deux enfants communs. Par conséquent, le droit de l’épouse à une contribution d’entretien sera donné s’il s’avère qu’elle ne peut pas subvenir seule à son entretien convenable et que l’époux dispose d’une capacité contributive. c/aa)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 Selon la jurisprudence,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cinquante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dix ans révolus, et de 100 % avant qu’il n’ait atteint l’âge de seize16 ans révolus (ATF 115 II 6 c. 3c).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bb) En l’espèce, les parties ont vécu séparées pendant cinq ans et demi, ce qui est insuffisant au regard de la jurisprudence précitée pour que l’on prenne en considération leur train de vie durant la séparation. Le train de vie mené pendant la vie commune est dès lors seul déterminant. Les premiers juges ont admis que l’appelant gagnait alors 7'263 fr. par mois. L’appelant conteste ce montant en relevant qu’il n’a été effectif que depuis la reprise de l’établissement par un tiers, le 1er juin 2006, soit deux mois avant la séparation des parties. Il n’allègue pas que son revenu précédent était inférieur ni n’indique son montant. C’est dès lors à bon droit que les premiers juges ont retenu ce salaire pour déterminer le train de vie. L’épouse gagnait quant à elle 4'992 fr., ce qui fait un total mensuel de 12'255 fr. pour le couple. En considérant que les époux affectaient 25 % de leurs revenus à leurs deux enfants, on peut arrêter leur train de vie à 9'200 fr., soit 4'600 fr. pour chacun d’entre eux, limite supérieure du droit à l’entretien. Les parties n’ont pas réalisé d’économies mais ont, au contraire, contracté des dettes si bien que seul un calcul selon le minimum vital élargi peut entrer en ligne de compte. Le minimum vital élargi de l’appelant a été arrêté à 4'662 fr. 60 et n’a pas été remis en cause. Quant à celui de l’intimée, l’appelant conteste que le poste de loyer, par 1'500 fr. soit justifié en raison du fait qu’il est acquitté par un tiers. En réalité, il s’agit d’une charge hypothétique dès lors que les premiers juges ont considéré qu’en présence de revenus limités, l’intimée ne pouvait pas prétendre avoir droit de prendre en location un appartement de cinq pièces et demi pour un montant de 2'530 francs. Quoiqu’il en soit, il est exact qu’une dette ne peut être prise en considération dans le calcul du minimum vital que si elle représente une charge effective, dont le débirentier s'acquitte réellement (ATF 121 III 20 c. 3a; ATF 126 III 89 c. 3b; TF 5A_236/2011 du 18 octobre 2011 c. 4.1.3). Dès lors que l’intimée a pu attester rembourser le tiers qui lui avait avancé le montant des loyers, il s’agit d’une charge effective dont il convient de tenir compte. L’intimée requiert que le loyer hypothétique soit fixé à 1'800 fr. pour correspondre aux prix du marché, elle ne produit cependant aucune pièce tendant à démontrer que le montant de 1'500 fr. est inférieur aux prix pratiqués. C’est ainsi ce dernier montant qui sera retenu au titre de loyer hypothétique par la cour de céans. L’appelant conteste encore que l’intimée doive supporter des frais de garde à hauteur de 500 fr. par mois alors même qu’elle est au chômage et disponible pour s’occuper des enfants. Les frais de garde sont en principe admis pendant le travail du parent gardien (CACI 28 mars 2011/23; Bastons Bulletti, op. cit., SJ 2007 II p. 86). Il doit en aller de même pendant le chômage dès lors que le parent gardien doit se rendre disponible pour effectuer des recherches d’emploi et être en mesure de reprendre le travail à bref délai. L’intimée percevant des indemnités de chômage pour une activité à 60 %, c’est dire qu’elle doit avoir une disponibilité de trois jours par semaine. Une charge de garde de 500 fr. mensuels, correspondant à 115 fr. par semaine (500 / 30.5 x 7) soit environ 20 fr (115 fr. /6) par jour et par enfant ne paraît pas disproportionnée et doit être admise. Les autres charges de l’intimée n’étant pas contestées, il y a lieu d’admettre que son minimum vital est de 4'542 fr. 65 comme admis par les premiers juges. Enfin, D.X.________ et C.X.________ ont maintenant sept et onze ans et l’on ne peut exiger de l’intimée qu’elle travaille à 100 % comme le soutient l’appelant. Elle a travaillé à 60 % jusqu’à présent et une augmentation n’est pas envisageable à ce stade, quel que soit l’impact du handicap de D.X.________ sur la vie quotidienne. Le raisonnement des premiers juges ne prête dès lors pas flanc à la critique et l’on doit considérer que l’intimée peut pourvoir à son entretien à concurrence des indemnités chômage qu’elle perçoit pour une activité à 60 %, soit 2'997 fr. 50. L’intimée accuse alors un manco de 1'545 fr. 15 (2'997 fr. 50 – 4'542 fr. 65) et l’appelant bénéficie d’un solde de 1'337 fr. 40 (6'000 fr. – 4'662 fr. 60). L’appelant est dès lors en mesure de servir la pension réclamée par 1'000 francs. L'appel doit être rejeté sur ce point. 7. En conclusion, l'appel doit être rejeté et le jugement confirmé. Les frais judiciaires de deuxième instance, arrêtés à 600 fr. (art. 63 al. 1 TFJC [tarif du 28 septembre 2010 des frais judiciaires en matière civile; RSV 270.11.5), sont mis à la charge de l'appelant, vu le rejet de l'appel. Celui-ci devra en outre verser à l'intimée des dépens fixés à 1'500 fr. (art. 106 al. 1 CPC; art. 7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