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349 vom 22. Mai 2012</w:t>
      </w:r>
    </w:p>
    <w:p>
      <w:r>
        <w:t>VD Tribunal cantonal, 2012-05-22, FR</w:t>
      </w:r>
    </w:p>
    <w:p>
      <w:r>
        <w:rPr>
          <w:b/>
        </w:rPr>
        <w:t xml:space="preserve">Quelle: </w:t>
      </w:r>
      <w:r>
        <w:t>https://mcp.opencaselaw.ch/entscheid/vd_findinfo_HC___2012___349</w:t>
      </w:r>
    </w:p>
    <w:p>
      <w:r>
        <w:t>FR: VD_FINDINFO HC / 2012 / 349 du 22 mai 2012</w:t>
      </w:r>
    </w:p>
    <w:p>
      <w:r>
        <w:t>IT: VD_FINDINFO HC / 2012 / 349 del 22 maggio 2012</w:t>
      </w:r>
    </w:p>
    <w:p>
      <w:pPr>
        <w:pStyle w:val="Heading2"/>
      </w:pPr>
      <w:r>
        <w:t>Regeste</w:t>
      </w:r>
    </w:p>
    <w:p>
      <w:r>
        <w:t>DÉCISION D'IRRECEVABILITÉ, ACTE DE NON-CONCILIATION, AUTORITÉ DE CONCILIATION, DOMMAGE IRRÉPARABLE | 209 CPC (CH), 319 let. b ch. 2 CPC (CH)</w:t>
      </w:r>
    </w:p>
    <w:p>
      <w:pPr>
        <w:pStyle w:val="Heading2"/>
      </w:pPr>
      <w:r>
        <w:t>Erwägungen</w:t>
      </w:r>
    </w:p>
    <w:p>
      <w:r>
        <w:rPr>
          <w:b/>
        </w:rPr>
        <w:t>E. 1</w:t>
      </w:r>
    </w:p>
    <w:p>
      <w:r>
        <w:t>La décision attaquée a été rendue le 19 avril 2012, de sorte que les voies de droit sont régies par le CPC, entré en vigueur le 1 er janvier 2011 (art. 405 al. 1 CPC ; ATF 137 III 127 ; ATF 137 III 130 ; Tappy, in CPC commenté, Bâle 2011, nn. 5 ss ad art. 405 CPC).</w:t>
      </w:r>
    </w:p>
    <w:p>
      <w:r>
        <w:rPr>
          <w:b/>
        </w:rPr>
        <w:t>E. 2</w:t>
      </w:r>
    </w:p>
    <w:p>
      <w:r>
        <w:t>a) Selon l’art. 319 let. b CPC, le recours est ouvert contre les ordonnances d’instruction et les décisions autres que finales, incidentes ou provisionnelles de première instance, dans les cas prévus par la loi ou lorsqu’elles peuvent causer un préjudice difficilement réparable. Le recours contre une autorisation de procéder n’étant pas expressément prévue par le CPC, il n’est donc recevable que dans la mesure où celle-ci peut causer au recourant un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(JT 2011 III 86 c. 3 ; Jeandin, in CPC commenté, n. 23 ad art. 319 CPC ; Hohl, Procédure civile, tome II, 2 e éd., Berne 2010, n. 2485, p. 449). En l’espèce, le recourant ne fait nullement valoir qu’il subirait un préjudice difficilement réparable du fait de la décision attaquée. Rien n’indique au demeurant que le recourant risque de subir un tel préjudice, d’autant moins qu’il conserve tous ses moyens de défense devant le juge du fond. Il en découle que, faute de préjudice difficilement réparable au sens de l'art. 319 let. b ch. 2 CPC, le recours doit être déclaré irrecevable. b) Cela étant, on relèvera qu’à supposer qu’il ait été recevable, le recours aurait de toute manière dû être rejeté pour les motifs qui suivent. aa) Le recourant soutient que le litige qui l’oppose à l’intimé ne relève pas de la compétence spéciale de la juridiction du bail et que la commission de conciliation n’était dès lors pas compétente ratione materiae, de sorte qu’elle aurait dû décliner sa compétence. Le recourant relève en outre qu’une procédure est pendante devant le Président du tribunal civil de l’arrondissement de Lausanne et que la cause fait ainsi l’objet d’une litispendance préexistante. Le recourant en conclut que l’autorisation de procéder délivrée à l’intimé par la commission de conciliation est viciée et qu’elle doit être annulée. bb) A teneur de l'art. 201 CPC, l'autorité de conciliation tente de trouver un accord entre les parties de manière informelle. Généralement, l'autorité de conciliation ne rend pas de jugement sur les prétentions des parties, mais constate seulement si la conciliation a abouti ou non (art. 209 CPC ; Hohl, op. cit., n. 1095 ad art. 201 CPC). Dans certaines affaires cependant, l'autorité de conciliation a la faculté de soumettre aux parties une proposition de jugement (art. 210 al. 1 CPC), voire de rendre une décision (art. 212 CPC). Sous réserve de ces deux cas, l'autorité de conciliation n'a en principe pas à examiner les conditions de recevabilité de l'action (Zürcher, in Kommentar zur Schweizerischen Zivilprozessordnung (ZPO), Zurich 2010, n. 6 ad art. 59 CPC) ; c'est donc le tribunal, et non l'autorité de conciliation, qui examine si la demande satisfait aux conditions de recevabilité de l'action, conformément au texte clair de l'art. 59 al. 1 CPC (CREC 22 décembre 2011/263 ; CREC du 8 août 2011/126). La Cour d'appel civile a certes nuancé la jurisprudence de la Chambre des recours et considéré que les conditions de recevabilité propres à l’instance entamée par le dépôt de la requête de conciliation, telles les compétences ratione loci ou materiae, devaient retenir l’attention particulière de l’autorité de conciliation (CACI 16 août 2011/197). Au vu de son rôle essentiellement conciliateur, l'autorité de conciliation ne doit toutefois déclarer la requête irrecevable qu'en cas d'incompétence manifeste (en ce sens Bohnet, in CPC commenté, n. 17 ad art. 60 CPC ; Egli, in DIKE-Kommentar, Zurich 2011, n. 10 ad art. 202 CPC pour qui l'autorité de conciliation ne doit pas se substituer à l'autorité judiciaire et doit laisser le tribunal saisi le soin de se prononcer sur lesdites conditions, l'autorité de conciliation n'ayant en principe pas de compétence juridictionnelle ; cf. Honegger, in Kommentar zur Schweizerischen Zivilprozes-sordnung (ZPO), n. 19 ad art. 202 CPC, qui ne distingue cependant pas les conditions de recevabilité relatives à l'instance de celles relatives à l'action). cc) En l’espèce, l’intimé a produit à l’appui de sa requête de conciliation une convention conclue par les parties intitulée « contrat de sous-location », lequel porte notamment sur des locaux commerciaux. Compte tenu de cette convention, c’est à juste titre que la commission de conciliation a constaté qu’elle n’était pas manifestement incompétente pour connaître du litige ; vu l’échec de la conciliation, c’est à juste titre également qu’elle a délivré l’autorisation de procéder (cf. JT 2011 III 185). La commission de conciliation n’avait par ailleurs pas à décliner sa compétence du seul fait qu’une procédure parallèle en dissolution de société simple avait été ouverte devant le président. En tout état de cause, il appartiendra au tribunal saisi de déterminer sa compétence, le recourant étant en mesure de faire valoir tout moyen dans la procédure au fond que l'intimé est autorisé à ouvrir.</w:t>
      </w:r>
    </w:p>
    <w:p>
      <w:r>
        <w:rPr>
          <w:b/>
        </w:rPr>
        <w:t>E. 3</w:t>
      </w:r>
    </w:p>
    <w:p>
      <w:r>
        <w:t>En définitive, le recours doit être déclaré irrecevable en application de l’art. 322 al. 1 CPC. Le recours était d’emblée dépourvu de toute chance de succès, de sorte que la requête d’assistance judiciaire du recourant doit être rejetée (art. 117 let. b CPC). L’arrêt peut être rendu sans frais judiciaires. Il n’y a par ailleurs pas matière à l’allocation de dépens de deuxième instance, l’intimé n’ayant pas été invité à se déterminer sur le recours. Par ces motifs, la Chambre des recours civile du Tribunal cantonal, statuant à huis clos, en application de l’art. 322 al. 1 CPC, prononce : I. Le recours est irrecevable. II. La requête d’assistance judiciaire du recourant A.________ est rejetée. III. L’arrêt est rendu sans frais. IV. L’arrêt est exécutoire. Le président : Le greffier : Du L'arrêt qui précède, dont la rédaction a été approuvée à huis clos, est notifié à : ‑ Me Robert Lei Ravello (pour A.________) ‑ Me Robert Fox (pour B.________)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Commission de conciliation en matière de baux à loyer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