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346 vom 25. Mai 2012</w:t>
      </w:r>
    </w:p>
    <w:p>
      <w:r>
        <w:t>VD Tribunal cantonal, 2012-05-25, FR</w:t>
      </w:r>
    </w:p>
    <w:p>
      <w:r>
        <w:rPr>
          <w:b/>
        </w:rPr>
        <w:t xml:space="preserve">Quelle: </w:t>
      </w:r>
      <w:r>
        <w:t>https://mcp.opencaselaw.ch/entscheid/vd_findinfo_HC___2012___346</w:t>
      </w:r>
    </w:p>
    <w:p>
      <w:r>
        <w:t>FR: VD_FINDINFO HC / 2012 / 346 du 25 mai 2012</w:t>
      </w:r>
    </w:p>
    <w:p>
      <w:r>
        <w:t>IT: VD_FINDINFO HC / 2012 / 346 del 25 maggio 2012</w:t>
      </w:r>
    </w:p>
    <w:p>
      <w:pPr>
        <w:pStyle w:val="Heading2"/>
      </w:pPr>
      <w:r>
        <w:t>Regeste</w:t>
      </w:r>
    </w:p>
    <w:p>
      <w:r>
        <w:t>EXPULSION DE LOCATAIRE, DEMEURE, BAIL À LOYER | 257d CO, 308 al. 2 CPC (CH), 319 let. a CPC (CH), 321 al. 2 CPC (CH)</w:t>
      </w:r>
    </w:p>
    <w:p>
      <w:pPr>
        <w:pStyle w:val="Heading2"/>
      </w:pPr>
      <w:r>
        <w:t>Erwägungen</w:t>
      </w:r>
    </w:p>
    <w:p>
      <w:r>
        <w:rPr>
          <w:b/>
        </w:rPr>
        <w:t>E. 1.1</w:t>
      </w:r>
    </w:p>
    <w:p>
      <w:r>
        <w:t>La décision attaquée est une décision finale de première instance, susceptible d'appel dans les affaires patrimoniales lorsque la valeur litigieuse atteint, selon les dernières conclusions, la somme de 10'000 fr. au moins (art. 308 al.</w:t>
      </w:r>
    </w:p>
    <w:p>
      <w:r>
        <w:rPr>
          <w:b/>
        </w:rPr>
        <w:t>E. 1.2</w:t>
      </w:r>
    </w:p>
    <w:p>
      <w:r>
        <w:t>Selon l'art. 321 al. 2 CPC, le délai pour l'introduction du recours est de dix jours pour les décisions prises en procédure sommaire. En l'espèce, l'ordonnance a été rendue en application de la disposition relative aux cas clairs (art. 257 CPC), soit en procédure sommaire, de sorte que le délai de recours n'est que de dix jours. Interjeté par une partie qui y a intérêt (art. 59 CPC), dès lors qu'il émane d'une locataire risquant d'être expulsée de son logement, dûment motivé (art. 321 al. 1 CPC) et déposé en temps utile, le recours est recevable à la forme.</w:t>
      </w:r>
    </w:p>
    <w:p>
      <w:r>
        <w:rPr>
          <w:b/>
        </w:rPr>
        <w:t>E. 2</w:t>
      </w:r>
    </w:p>
    <w:p>
      <w:r>
        <w:t>CPC). La recourante ne conteste pas la résiliation de bail ni le principe de son expulsion. Arguant que le logement est actuellement occupé par cinq personnes, dont un enfant mineur en cours d'année scolaire, elle sollicite uniquement que le délai pour libérer les locaux soit reporté à fin juillet 2012. Dès lors que le principe de l'expulsion n'est pas remis en cause, la valeur litigieuse équivaut aux loyers durant la période demandée (CREC 25 avril 2012/159). En l'occurrence, celle-ci correspond à la période séparant la date impartie par le juge de paix pour quitter les locaux, à savoir le 13 avril 2012, et le 31 juillet 2012. La valeur litigieuse équivaut ainsi à trois loyers et demi mensuels, savoir 4'165 fr. (1.190 x 3.5). Il s'ensuit que seul un recours peut être formé contre l'ordonnance attaquée (art. 319 let. a CPC).</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w:t>
      </w:r>
    </w:p>
    <w:p>
      <w:r>
        <w:rPr>
          <w:b/>
        </w:rPr>
        <w:t>E. 2.2</w:t>
      </w:r>
    </w:p>
    <w:p>
      <w:r>
        <w:t>Les conclusions, les allégations de faits et les preuves nouvelles sont irrecevables en procédure de recours (art. 326 CPC), dès lors qu'il s'agit d'une voie extraordinaire de remise en cause des décisions n'offrant qu'un pouvoir d'examen limité à l'instance supérieure (Jeandin, CPC commenté, n. 1 ad art. 326 CPC). En l'occurrence, aucune pièce n'a été produite par la recourante à l'appui de son recours.</w:t>
      </w:r>
    </w:p>
    <w:p>
      <w:r>
        <w:rPr>
          <w:b/>
        </w:rPr>
        <w:t>E. 2.3</w:t>
      </w:r>
    </w:p>
    <w:p>
      <w:r>
        <w:t>Le recours n'est pas suspensif (art. 325 al. 1 CPC).</w:t>
      </w:r>
    </w:p>
    <w:p>
      <w:r>
        <w:rPr>
          <w:b/>
        </w:rPr>
        <w:t>E. 3.1</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recourante ne conteste pas le bien-fondé juridique de l'expulsion. Elle fait valoir qu'elle a payé à la gérance, le 15 février 2012, les loyers arriérés de 2'901 fr. 30. Il n'en demeure pas moins que le délai comminatoire de trente jours a couru à compter de la notification de la mise en demeure du 6 septembre 2011 et que le paiement de l'arriéré de loyer n'est pas intervenu dans le délai imparti. A cet égard, la jurisprudence a précisé que le bailleur est en droit de résilier le bail lorsque l'arriéré n'a pas été réglé dans le délai comminatoire (ATF 127 III 548 c. 4), cela même si l'arriéré a finalement été payé (TF, arrêt du 7 février 1997, in CdB 3/1997 pp. 65ss). Cela étant, il faut constater avec le premier juge que le congé donné par la bailleresse pour le 30 novembre 2011 respecte les conditions de l'art. 257d CO.</w:t>
      </w:r>
    </w:p>
    <w:p>
      <w:r>
        <w:rPr>
          <w:b/>
        </w:rPr>
        <w:t>E. 4</w:t>
      </w:r>
    </w:p>
    <w:p>
      <w:r>
        <w:t>La recourante sollicite, pour des motifs d'opportunité, un report au 31 juillet 2012 de la date fixée pour la libération définitive du logement en cause. Elle invoque des difficultés de relogement pour cinq personnes, en se référant à la charge de trois enfants, dont un mineur qui verrait son parcours scolaire perturbé par un déménagement en cours d'année. La jurisprudence a précisé que, lorsque le locataire n'avait pas réglé l'arriéré réclamé dans le délai comminatoire prévu par l'art. 257d CO, il était en demeure et devait subir les conséquences juridiques de l'al.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3/1997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Chambre des recours considérait sous l'empire de l'ancien droit cantonal abrogé par l'entrée en vigueur du CPC, que, sauf cas particulier, un délai de libération des locaux de quinze à vingt jours était admissible (Guignard, Procédures spéciales vaudoises, Lausanne 2008, n. 2 ad art. 17 LPEBL, p. 196 et les références citées). En l'espèce, le premier juge a tenu compte du temps nécessaire pour le déménagement en fixant un délai au 13 avril 2012 pour libérer les locaux. Les modalités de l'expulsion ne sont ainsi pas contraires au droit. De toute manière, le principe de proportionnalité devra être examiné, le cas échéant, dans le cadre de la procédure d'exécution forcée. Au surplus, on relèvera que la recourante et sa famille occupent toujours l'appartement litigieux.</w:t>
      </w:r>
    </w:p>
    <w:p>
      <w:r>
        <w:rPr>
          <w:b/>
        </w:rPr>
        <w:t>E. 5</w:t>
      </w:r>
    </w:p>
    <w:p>
      <w:r>
        <w:t>En définitive, le recours doit être rejeté, en application de l'art. 322 al. 1 CPC, et l'ordonnance querellée confirmée. La recourante, qui succombe, doit supporter les frais judiciaires de deuxième instance (art. 106 al. 1 CPC), qu'il convient d'arrêter à 200 fr. (art. 69 al. 2 TFJC [tarif du 28 septembre 2010 des frais judiciaires civils; RSV 270.11.5]). N'ayant pas été invitée à se déterminer sur le recours (art. 322 al. 1 CPC), l'intimée n'a pas droit à des dépens de deuxième instance. Par ces motifs, la Chambre des recours civile du Tribunal cantonal, statuant à huis clos, en application de l'art. 322 al. 1 CPC, prononce : I. Le recours est rejeté. II. L'ordonnance est confirmée. III. Les frais de deuxième instance, arrêtés à 200 fr. (deux cents francs), sont mis à la charge de la recourante H.________. IV. L'arrêt motivé est exécutoire. Le président :               Le greffier : Du 29 mai 2012 Le dispositif de l'arrêt qui précède est communiqué par écrit aux intéressés. Le greffier : Du L'arrêt qui précède, dont la rédaction a été approuvée à huis clos, est notifié en expédition complète, par l'envoi de photocopies, à : ‑ H.________, ‑ M. Jean-Daniel Schwab (pour Q.________). La Chambre des recours civile considère que la valeur litigieuse est inférieure de 4'165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