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344 vom 22. März 2012</w:t>
      </w:r>
    </w:p>
    <w:p>
      <w:r>
        <w:t>VD Tribunal cantonal, 2012-03-22, FR</w:t>
      </w:r>
    </w:p>
    <w:p>
      <w:r>
        <w:rPr>
          <w:b/>
        </w:rPr>
        <w:t xml:space="preserve">Quelle: </w:t>
      </w:r>
      <w:r>
        <w:t>https://mcp.opencaselaw.ch/entscheid/vd_findinfo_HC___2012___344</w:t>
      </w:r>
    </w:p>
    <w:p>
      <w:r>
        <w:t>FR: VD_FINDINFO HC / 2012 / 344 du 22 mars 2012</w:t>
      </w:r>
    </w:p>
    <w:p>
      <w:r>
        <w:t>IT: VD_FINDINFO HC / 2012 / 344 del 22 marzo 2012</w:t>
      </w:r>
    </w:p>
    <w:p>
      <w:pPr>
        <w:pStyle w:val="Heading2"/>
      </w:pPr>
      <w:r>
        <w:t>Regeste</w:t>
      </w:r>
    </w:p>
    <w:p>
      <w:r>
        <w:t>RESPONSABILITÉ DU DÉTENTEUR DE VÉHICULE, RÉDUCTION{EN GÉNÉRAL}, RESPONSABILITÉ DU PROPRIÉTAIRE D'OUVRAGE, DOMMAGES-INTÉRÊTS, COMMUNE, VICE DE CONSTRUCTION, LIEN DE CAUSALITÉ, DOMMAGE, DOMAINE PUBLIC, AUTORISATION DÉROGATOIRE{EN GÉNÉRAL}, RÈGLE DE LA CIRCULATION, RISQUE INHÉRENT À L'EMPLOI, POIDS LOURD, INTÉRÊT{FRUIT CIVIL}, EXIGIBILITÉ | 8 CC, 44 al. 1 CO, 58 CO, 27 al. 1 LCR, 58 al. 1 LCR, 59 al. 1 LCR, 25 LRou, 26 al. 1 LRou, 41a OCR, 78 OCR, 20 al. 1 OSR, 47 al. 4 OSR, 308 al. 1 let. a CPC (CH), 308 al. 2 CPC (CH), 310 CPC (CH)</w:t>
      </w:r>
    </w:p>
    <w:p>
      <w:pPr>
        <w:pStyle w:val="Heading2"/>
      </w:pPr>
      <w:r>
        <w:t>Erwägungen</w:t>
      </w:r>
    </w:p>
    <w:p>
      <w:r>
        <w:rPr>
          <w:b/>
        </w:rPr>
        <w:t>E. 1.1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dépasse 10'000 fr. (art. 308 al. 2 CPC). Formé en temps utile (art. 311 al. 1 CPC) par une partie qui y a intérêt (art. 59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w:t>
      </w:r>
    </w:p>
    <w:p>
      <w:r>
        <w:rPr>
          <w:b/>
        </w:rPr>
        <w:t>E. 2</w:t>
      </w:r>
    </w:p>
    <w:p>
      <w:r>
        <w:t>L'appelante invoque une violation des art. 58 et 44 CO.</w:t>
      </w:r>
    </w:p>
    <w:p>
      <w:r>
        <w:rPr>
          <w:b/>
        </w:rPr>
        <w:t>E. 2.1</w:t>
      </w:r>
    </w:p>
    <w:p>
      <w:r>
        <w:t>Aux termes de l'art. 58 CO, le propriétaire d'un bâtiment ou de tout autre ouvrage répond du dommage causé par des vices de construction ou par le défaut d'entretien.</w:t>
      </w:r>
    </w:p>
    <w:p>
      <w:r>
        <w:rPr>
          <w:b/>
        </w:rPr>
        <w:t>E. 2.1.1</w:t>
      </w:r>
    </w:p>
    <w:p>
      <w:r>
        <w:t>Le propriétaire d'ouvrage n'encourt de responsabilité que si le dommage est dû à un vice de construction ou à un défaut d'entretien de l'ouvrage. Selon la jurisprudence, un ouvrage est défectueux lorsqu'il n'offre pas la sécurité suffisante pour l'usage auquel il est destiné (ATF 130 III 736 c. 1.3 pp. 741 s.; ATF 126 III 113 c. 2a/cc pp. 115 s.). Le degré de sécurité suffisante est fonction du but qui est assigné à l'ouvrage (ATF 130 III 736 c. 1.3 p. 741) et se détermine d'après un point de vue objectif, en fonction de ce qui peut se passer, selon l'expérience de la vie, à l'endroit où se trouve cet ouvrage (ATF 123 III 306 c. 3b/aa p. 310). L'admission de l'existence d'un défaut dépend des circonstances du cas d'espèce. Toute source de danger ne représente pas un vice de construction au sens de l'art. 58 CO (ATF 129 III 65 c. 1.1 p. 66). Le propriétaire ne doit prévenir que les risques normaux et n'a pas besoin d'éliminer tout dommage éloigné imaginable (ATF 123 III 306 c. 3b/aa p. 311).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(ATF 130 III 736 c. 1.3 p. 742; ATF 126 III 113 c. 2a/cc p. 116; ATF 123 III 306 c. 3b/aa. p. 311). Ces principes valent également pour les propriétaires de routes, qui sont le plus souvent des collectivités publiques. Ainsi, une route, comme tout autre ouvrage, doit être construite et aménagée de manière à offrir une sécurité suffisante aux usagers, de même qu'aux biens-fonds sur lesquels peuvent se manifester les effets préjudiciables d'un défaut de construction ou d'entretien (ATF 100 II 134 c. 2 pp. 137 s.). On ne peut cependant pas poser, en matière d'infrastructures routières et d'entretien des routes, des exigences aussi sévères que pour d'autres ouvrages. Le réseau routier ne peut pas être entretenu dans la même mesure que, par exemple, un bâtiment isolé (ATF 130 III 736 c. 1.4 p. 742). La preuve de l'existence d'un vice de construction ou d'un défaut d'entretien incombe à celui qui invoque l'art. 58 CO (art. 8 CC [Code civil suisse du 10 décembre 1907; RS 210]); elle ne résulte pas du seul fait que l'accident a été causé par un ouvrage (ATF 123 III 306 c. 3b/aa p. 311 et les références citées).</w:t>
      </w:r>
    </w:p>
    <w:p>
      <w:r>
        <w:rPr>
          <w:b/>
        </w:rPr>
        <w:t>E. 2.1.2</w:t>
      </w:r>
    </w:p>
    <w:p>
      <w:r>
        <w:t>La responsabilité fondée sur l'art. 58 CO suppose l'existence d'un lien de causalité entre l'acte ou l'omission fautif de l'auteur et le dommage. Un fait est la cause naturelle d'un résultat s'il en constitue une condition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est une question de fait que le juge doit trancher selon les règles du degré de vraisemblance prépondérante (ATF 133 III 462 c. 4.4.2 p. 470; ATF 132 III 715 c. 2.2 p. 718). Il faut encore que la causalité puisse être qualifiée d'adéquate. Pour dire s'il y a causalité adéquate, il faut examiner si le fait en discussion était propre, selon le cours ordinaire des choses et l'expérience générale de la vie, à entraîner un résultat du genre de celui qui s'est produit (ATF 129 lI 312 c. 3.3 p. 318; ATF 129 V 402 c.</w:t>
      </w:r>
    </w:p>
    <w:p>
      <w:r>
        <w:rPr>
          <w:b/>
        </w:rPr>
        <w:t>E. 2.1.3</w:t>
      </w:r>
    </w:p>
    <w:p>
      <w:r>
        <w:t>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qui institue un principe juridique général du droit de la responsabilité civile (ATF 130 III 182 c. 5.5.1), laisse au juge un large pouvoir d'appréciation (ATF 130 III 182 c. 5.5.2; ATF 127 III 453 c. 8c p. 459). Il incombe au responsable qui se prévaut de motifs de réduction de les établir (art. 8 CC; Werro, Commentaire romand, Code des obligations I, n. 2 ad art. 44 CO). L'acceptation du risque ( Handeln auf eigene Gefahr ) – laquelle, selon certains précédents et auteurs, est assimilée au consentement du lésé (cf. ATF 117 Il 547 c. 3b; Werro, op. cit., n. 9 ad art. 44 CO; Engel, Traité des obligations en droit suisse, 2 ème éd., p. 490), alors que, d'après un autre courant de jurisprudence et de doctrine, elle constitue une sorte particulière de faute concomitante (cf. ATF 91 II 218 c. 2b p. 223; Brehm, Commentaire bernois, 1998, nn. 14 et 15 ad art. 44 CO; Oftinger/Stark, Schweizerisches Haftpflichtrecht, Allgemeiner Teil, vol. 1, § 7 n. 30 p. 392; Schnyder, Commentaire bâlois, 4 ème éd., nn. 4 à 6 ad art. 44 CO) – peut constituer un facteur de réduction de l'indemnité. Il faut que le lésé ait pu avoir la possibilité de prévoir le risque et d'agir pour y parer et qu'il ait décidé néanmoins de le prendre sur lui (Oftinger/Stark, op. cit., § 5 n. 148 p. 232; Schwenzer, Schweizerisches Obligationenrecht, Allgemeiner Teil, 5 ème éd., n. 16.11 pp. 104-105). Le risque qui s'est matérialisé doit encore faire partie des risques inhérents à l'activité à laquelle s'est livré le lésé (Werro, op. cit., n. 9 ad art. 44 CO).</w:t>
      </w:r>
    </w:p>
    <w:p>
      <w:r>
        <w:rPr>
          <w:b/>
        </w:rPr>
        <w:t>E. 2.2</w:t>
      </w:r>
    </w:p>
    <w:p>
      <w:r>
        <w:t>En l'espèce, il n'est pas contesté que la route de [...], à la hauteur de la place d'évitement du Bois de [...], fait partie du domaine public de la Commune de X.________. Partant, celle-ci répond des dommages résultant d'un défaut d'entretien ou de conception de cet ouvrage en application de l'art. 58 CO.</w:t>
      </w:r>
    </w:p>
    <w:p>
      <w:r>
        <w:rPr>
          <w:b/>
        </w:rPr>
        <w:t>E. 3</w:t>
      </w:r>
    </w:p>
    <w:p>
      <w:r>
        <w:t>L'appelante soutient tout d'abord que la place d'évitement présentait une sécurité suffisante pour les véhicules qu'elle était destinée à accueillir et qu'elle ne pouvait donc être qualifiée de défectueuse. L'effondrement de cette place serait intervenu uniquement en raison d'une utilisation non-conforme à sa destination. L'intimé relève que le chauffeur du camion ne pouvait aucunement inférer d'une quelconque circonstance ou d'une quelconque directive que la place d'évitement était dangereuse ou présentait un risque. Il nie par conséquent qu'il y aurait eu une utilisation de la place d'évitement non-conforme à sa destination.</w:t>
      </w:r>
    </w:p>
    <w:p>
      <w:r>
        <w:rPr>
          <w:b/>
        </w:rPr>
        <w:t>E. 3.1</w:t>
      </w:r>
    </w:p>
    <w:p>
      <w:r>
        <w:t>En l'espèce, il résulte du rapport d'expertise établi le 30 septembre 2010 par Bertrand Lauraux, ingénieur civil EPF-SIA, que le mur en question n'avait aucune fondation, que cet ouvrage ne pouvait être qualifié de structure de soutènement et qu'il n'avait pas été construit par des professionnels de la construction. En page 10 de son rapport, l'expert a procédé à une étude comparative de l'effet de différents cas de charge sur un même modèle constant lui permettant de jauger l'importance des charges pour l'ouvrage en question. Il en est résulté ce qui suit : un trafic d'une charge de 3.5 tonnes n'avait pratiquement pas d'effet (10% d'augmentation), même le trafic limité à 8 tonnes n'étant pas critique; le trafic limité à 16 tonnes, prenant en compte un camion de pompiers par exemple, avait une influence qui devenait non négligeable sans toutefois être très importante; seules les charges normalisées sans limitation (trafic 40 tonnes inclus) avaient un effet sensible sur l'ouvrage en doublant pratiquement les sollicitations par rapport à la seule poussée des terres sans trafic; le cas du camion en cause tombait pratiquement dans la catégorie 16 tonnes. Entendu lors de l'audience du 29 juin 2011, l'expert a confirmé que le mur, qui devait soutenir la route, n'avait pas été construit dans les règles de l'art. Celui-ci avait probablement été construit par un service forestier, sans instructions d'un ingénieur. L'expert a précisé que le mur ne se serait pas effondré s'il avait été fait dans les règles de l'art. L'effondrement brusque du mur a engendré la chute du véhicule dans le fossé.</w:t>
      </w:r>
    </w:p>
    <w:p>
      <w:r>
        <w:rPr>
          <w:b/>
        </w:rPr>
        <w:t>E. 3.2</w:t>
      </w:r>
    </w:p>
    <w:p>
      <w:r>
        <w:t>Au regard des éléments précités, on doit admettre que l'ouvrage en question était défectueux au sens de l'art. 58 CO. Le rapport de causalité naturelle et adéquate entre le défaut de cet ouvrage et le dommage est également réalisé.</w:t>
      </w:r>
    </w:p>
    <w:p>
      <w:r>
        <w:rPr>
          <w:b/>
        </w:rPr>
        <w:t>E. 4</w:t>
      </w:r>
    </w:p>
    <w:p>
      <w:r>
        <w:t>L'appelante affirme que la faute grave de l'employé de l'intimé a interrompu le lien de causalité ou devrait alors à tout le moins conduire à une réduction de l'indemnité due. L'intimé conteste toute faute imputable au chauffeur, la Commune ayant admis une dérogation à la limitation du tonnage autorisé sur la route en question; de plus, aucune directive ou indication ne permettait au chauffeur d'imaginer qu'un risque d'éboulement existait par le simple usage de la place d'évitement. Il estime également qu'au regard des circonstances, une réduction du dommage ne se justifie aucunement.</w:t>
      </w:r>
    </w:p>
    <w:p>
      <w:r>
        <w:rPr>
          <w:b/>
        </w:rPr>
        <w:t>E. 4.1</w:t>
      </w:r>
    </w:p>
    <w:p>
      <w:r>
        <w:t>Contrairement à l'appréciation de l'appelante, on ne saurait reprocher à l'intimé d'avoir violé l'art. 27 LCR (loi fédérale du 19 décembre 1958 sur la circulation routière; RS 741.01). Certes, selon l'art. 27 al. 1, 1 ère phrase, LCR, chacun doit se conformer aux signaux et aux marques ainsi qu'aux ordres de la police. Aux termes de l'art. 20 al. 1 OSR (ordonnance du 5 septembre 1979 sur la signalisation routière; RS 741.21), le signal "Poids maximal" (2.16) interdit la circulation des véhicules et des ensembles de véhicules, dont le poids effectif dépasse le chiffre indiqué. Le poids effectif est le poids réel du véhicule ou de l'ensemble de véhicules avec ses occupants et son chargement au moment du pesage (art. 7 al. 2 OETV [ordonnance du 19 juin 1995 concernant les exigences techniques requises pour les véhicules routiers; RS 741.41]). Reste que la loi fédérale prévoit un système d'autorisations et d'exceptions pour les véhicules et transports spéciaux (cf. art. 78 ss OCR [ordonnance du 13 novembre 1962 sur les règles de la circulation routière; RS 741.11]). De même, l'art. 25 LRou (loi vaudoise sur les routes du 10 décembre 1991; RSV 725.01) prévoit que l'usage commun de la route est réservé à la circulation des véhicules autorisés et des piétons, dans de bonnes conditions de sécurité et de fluidité (al. 1); les règles de la législation fédérale et cantonale sur la circulation routière sont applicables (al. 2). Toutefois, selon l'art. 26 al. 1 LRou, tout usage excédant l'usage commun est soumis à autorisation, permis ou concession, délivré par le département s'agissant du domaine public cantonal et par la municipalité s'agissant du domaine public communal. Ils donnent lieu à la perception d'un émolument unique ou périodique. En l'espèce, l'appelante a autorisé l'intimé à circuler sur la route communale. En effet, ce dernier possède plusieurs camions équipés d'une grue qui sont notamment utilisés pour des transports de bois en forêt, respectivement pour l'évacuation de troncs d'arbres coupés lors de travaux forestiers. Les travaux commandés par l'appelante à la partie adverse consistaient précisément à transporter des troncs d'arbre ou branchages au moyen d'un de ces camions dont le poids à vide est de 15 tonnes. Par ailleurs, il ne résulte pas des faits que cette dernière aurait signifié au chauffeur de l'intimé une interdiction de parcage sur la place d'évitement ou qu'elle l'aurait rendu attentif au danger. Partant, on ne saurait reprocher à l'intimé une faute au sens d'une violation de l'art. 27 LCR, compte tenu de l'autorisation octroyée par la Commune. On ne peut davantage retenir que l'intimé aurait violé l'interdiction de parcage sur les places d'évitements, les faits allégués et retenus ne permettant pas de retenir que la place en question aurait été signalée en tant que telle conformément au prescrit de l'art. 47 al. 4 OSR.</w:t>
      </w:r>
    </w:p>
    <w:p>
      <w:r>
        <w:rPr>
          <w:b/>
        </w:rPr>
        <w:t>E. 4.2</w:t>
      </w:r>
    </w:p>
    <w:p>
      <w:r>
        <w:t>En revanche, il convient de tenir compte du risque inhérent à l'emploi du véhicule dès lors que celui-ci a joué un rôle dans la survenance du préjudice.</w:t>
      </w:r>
    </w:p>
    <w:p>
      <w:r>
        <w:rPr>
          <w:b/>
        </w:rPr>
        <w:t>E. 4.2.1</w:t>
      </w:r>
    </w:p>
    <w:p>
      <w:r>
        <w:t>Selon l'art. 58 al. 1 LCR, si, par suite de l'emploi d'un véhicule automobile, une personne est tuée ou blessée ou qu'un dommage matériel est causé, le détenteur est civilement responsable. Cette disposition institue une responsabilité causale du détenteur, liée à l'"emploi" du véhicule, notion qui implique la manifestation d'un danger dû à la réalisation du risque spécifique résultant de l'utilisation des organes proprement mécaniques du véhicule (TF 4A_44/2008 du 13 mai 2008 c. 3.2.2; ATF 114 lI 376 c. 1b, JT 1988 I 686). Le fonctionnement du véhicule automobile a pour caractéristiques principales la vitesse et la masse, dont la combinaison produit l'énergie cinétique. Le bruit, l'effet de surprise ou encore l'éblouissement des phares font aussi partie du risque inhérent au fonctionnement du véhicule (Brehm, Motorfahrzeughaftpflicht, Berne 2008 [ci-après : Brehm, Haftpflicht], n. 165; idem, La responsabilité civile automobile, 2 ème éd., n. 165; Bussy/Rusconi, Code suisse de la circulation routière, Commentaire, 3 ème éd., n. 7.4 ad art. 58 LCR). L'art. 59 al. 1 LCR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Il s'agit-là d'une exception au principe selon lequel le risque inhérent à l'emploi du véhicule suffit à fonder la responsabilité du détenteur; dès lors, la possibilité de se libérer d'une telle responsabilité doit être assortie d'exigences strictes, sauf à rendre la protection du lésé illusoire. La faute du lésé ou d'un tiers doit prédominer à tel point que le risque inhérent au véhicule automobile n'a plus de poids et n'entre plus en considération comme cause adéquate de l'accident (TF 4C.332/2002 du</w:t>
      </w:r>
    </w:p>
    <w:p>
      <w:r>
        <w:rPr>
          <w:b/>
        </w:rPr>
        <w:t>E. 4.2.2</w:t>
      </w:r>
    </w:p>
    <w:p>
      <w:r>
        <w:t>En l'espèce, on doit retenir que le risque inhérent du véhicule a joué un rôle puisque l'accident est survenu alors même que le camion n'était pas à l'arrêt et était donc à l'emploi. En particulier, la masse importante du véhicule a joué un rôle causal important, même si la vitesse était très peu élevée. On doit également admettre que l'intimé ne peut se prévaloir de la clause libératoire prévue à l'art. 59 LCR. En effet, selon l'art. 41a OCR, sur les routes secondaires situées dans les quartiers d'habitation et sur les routes secondaires sur lesquelles la circulation des véhicules n'est autorisée que dans une mesure limitée, les conducteurs sont tenus de circuler d'une manière particulièrement prudente et prévenante. Or, dans le cas particulier, le conducteur du camion savait que la route était interdite aux véhicules de plus de huit tonnes. En outre, la configuration des lieux était particulière et devait éveiller une certaine méfiance (cf. photographies figurant dans l'expertise Lauraux : route-ravin; place d'évitement non goudronnée). Partant, le chauffeur a violé ses devoirs de prudence au sens de la disposition précitée en s'engageant sur cette place d'évitement. Il convient de déterminer l'importance respective des différentes causes ayant concouru à l'accident. Outre le risque inhérent au véhicule automobile, l'intimé répond de la faute légère du conducteur de son camion telle que décrite ci-dessus. Pour sa part, l'appelante répond non seulement en raison de la responsabilité objective de l'art. 58 CO, mais aussi en raison d'une faute, qui doit être qualifiée de lourde. En effet, le mur qui s'est effondré, qui n'avait pas été construit par des professionnels de la construction, n'avait aucune fondation et ne pouvait être qualifié de structure de soutènement. Comme le relève l'expert Lauraux, " il s'agit d'un travail qui s'apparente à un bricolage avec des matériaux de récupération; on ne peut pas parler d'un ouvrage en béton armé proprement dit " (cf. rapport d'expertise, p. 10). Dans un tel cas de collision de responsabilité du propriétaire d'ouvrage ayant commis une faute additionnelle grave et du détenteur de véhicule ayant commis une faute légère, Brehm admet une réduction de 20 à 30% du dommage, le propriétaire d'ouvrage répondant à raison de 70 à 80% (cf. tableau concernant la collision de responsabilité du détenteur d'animal et de détenteur de véhicule, in Brehm, La responsabilité civile automobile, 2 ème éd., n. 634 pp. 250-251, applicable mutandis mutandis à la collision de responsabilité du propriétaire d'ouvrage et du détenteur de véhicule [ibidem, n. 662 p. 262]). En l'occurrence, compte tenu de l'importance du rôle causal dû au risque inhérent, en particulier lié à la masse du véhicule, il convient de réduire l'indemnité due par la Commune à l'intimé de 30%, de sorte que la somme due s'élève à 19'883 francs. 5. L'appelante soutient que le calcul des intérêts doit être pris en compte à partir de l'échéance moyenne et non pas dès la date de l'accident. 5.1 L'intérêt compensatoire court à partir du moment où l'événement dommageable engendre des conséquences pécuniaires et ce jusqu'au moment du paiement des dommages 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(ATF 131 III</w:t>
      </w:r>
    </w:p>
    <w:p>
      <w:r>
        <w:rPr>
          <w:b/>
        </w:rPr>
        <w:t>E. 8</w:t>
      </w:r>
    </w:p>
    <w:p>
      <w:r>
        <w:t>juillet 2003 c. 3.3). Constitue une faute grave la violation de règles élémentaires qui devraient s'imposer à tout homme prudent dans la même situation. Pour décider de la gravité de la faute, le juge doit prendre en considération non seulement les circonstances objectives de l'acte, mais également les conditions subjectives propres à son auteur, notamment quant à son discernement, par exemple lorsqu'il s'agit d'apprécier la faute d'enfants (TF 4C.278/ 1999 du 13 juillet 2000 c. 1c/aa, SJ 2001 I 110; ATF 111 lI 89 c. 1a). La faute grave peut prendre la forme d'une négligence grave (Brehm, Haftpflicht, n. 425). Sous l'angle de la preuve, le détenteur doit donc prouver non seulement qu'il n'a lui-même commis aucune faute, mais encore que l'accident a été causé par une faute grave du lésé (TF 4A_227/2007 du 26 septembre 2007 c. 2.2, rés. in JT 2007 I 540). En cas de doute sur la faute grave exclusive du lésé, le détenteur est tenu pour responsable (Brehm, Haftpflicht, n. 431; idem, op. cit., 2 ème éd., n. 431). Le lésé pourra ainsi profiter de l'impossibilité d'établir certains faits (TF 4C.278/1999 du 13 juillet 2000 c. 1c/aa, SJ 2001 I 110). Selon le Tribunal fédéral et la doctrine majoritaire, il convient de répartir en principe l'ensemble du dommage de 100% en fonction des différentes causes pertinentes en droit de la responsabilité; une quote-part du dommage total doit être attribuée à chacun des facteurs causals pertinents (TF 6S.411/2006 du 8 février 2007 c. 3; ATF 132 III 249 c. 3.1, JT 2006 I 468). Le juge tiendra compte en particulier de la faute du lésé, de la faute du détenteur (ou de la personne dont il répond) et du risque inhérent au véhicule (Brehm, Haftpflicht, n. 582; idem, op. cit., 2 ème éd., n. 582; Bussy/Rusconi, op. cit., n. 2.1 ad art. 59 LCR). Il comparera la gravité des fautes respectives et appréciera, le cas échéant, le poids des autres facteurs ayant contribué à provoquer le dommage. Pratiquement, l'indemnité sera réduite dans une mesure moindre que ne le justifierait la faute concurrente considérée pour elle-même; en effet, il faut tenir compte, à la charge du détenteur, du risque inhérent au véhicule, qu'il assume, et en outre de sa faute (ATF 95 lI 573 c. 3, JT 1970 I 433; Bussy/Rusconi, op. cit., n. 2.2 let. b ad art. 59 LCR). Les développements qui précèdent se rapportent au cas où le détenteur du véhicule est le responsable du dommage et non le lésé. Lorsque le détenteur du véhicule est le lésé, comme en l'espèce, on peut admettre qu'il réponde du risque inhérent à titre de facteur de réduction de son dommage. En effet, selon la jurisprudence, le risque inhérent à l'emploi d'un véhicule automobile doit être pris en considération dans la détermination du dommage lorsqu'il a joué un rôle concret dans la survenance du préjudice. Cela est conforme à la règle générale de l'art. 44 al. 1 CO, qui prescrit que le juge peut réduire les dommages-intérêts, ou n'en point allouer, lorsque des faits dont la partie lésée est responsable ont contribué à créer le dommage ou à l'augmenter (ATF 129 III 65 c. 7.1. et les réf. citées, JT 2003 I 600). Le risque inhérent a été ainsi pris en considération dans le cas d'un camion entrant en collision avec l'arceau d'une porte affectée d'un défaut de signalisation (ATF 108 Il 51) ou dans celui d'une automobile ayant dérapé sur une route qui aurait dû être entretenue (ATF 129 III 65 précité), tous cas dans lesquels le responsable principal n'était pas un détenteur de véhicule. Dans le dernier arrêt cité, le risque inhérent a été pris en considération à raison de 25%, le Tribunal fédéral admettant que l'énergie cinétique développée par l'automobile, qui circulait à une vitesse bien supérieure à celle requise par les circonstances, avait manifestement contribué à la survenance du dommage et à son aggravation. La Chambre des recours a jugé que cette jurisprudence n'impliquait pas que le risque inhérent ne doive être pris en compte qu'en cas de vitesse excessive, sinon le critère reviendrait à prendre en compte une seconde fois la faute commise (CREC I du 21 juin 2006/367 c. 4.5). Dans un arrêt ultérieur (CREC I 13 janvier 2010/15), relatif à un accident de la circulation survenu sur une portion de route en travaux, la Chambre des recours, tout en admettant que le responsable principal répondait du chef des travaux qu'il avait entrepris sur la route dont il était propriétaire, a pris en considération un risque inhérent imputable au lésé, à raison d'un taux de 25%, pour tenir compte du rôle, même restreint, joué par le véhicule de ce dernier dans la survenance de l'accident en raison de l'énergie cinétique développée par son allure. Pour que le risque inhérent soit sans effet sur la responsabilité, il faut établir qu'il est resté complètement étranger à la survenance de l'événement dommageable (Werro, note in DC 2003, p. 166).</w:t>
      </w:r>
    </w:p>
    <w:p>
      <w:r>
        <w:rPr>
          <w:b/>
        </w:rPr>
        <w:t>E. 12</w:t>
      </w:r>
    </w:p>
    <w:p>
      <w:r>
        <w:t>c. 9.5, JT 2005 I 488). 5.2 En l'espèce, le dommage subi par l'intimé – à savoir sa perte de bénéfice entre le jour de l'accident et la livraison de son nouveau camion – était périodique en ce sens qu'il ne s'est pas réalisé en son entier en une seule fois, mais a augmenté dans le temps pour atteindre, en septembre 2009, le montant de 29'824 fr., ce conformément aux conclusions de l'expertise GTR Finance &amp; Audit SA dont il n'existe aucun motif de s'écarter. Il convient ainsi de déterminer l'échéance moyenne de la période allant du 4 novembre 2008, date de l'accident, au 1 er septembre 2009, cette dernière date correspondant à celle à laquelle l'intimé a reçu son nouveau camion. Au total, cette période comprend 10 mois. L'échéance moyenne doit ainsi être arrêtée au 4 avril 2009, date à partir de laquelle court un intérêt compensatoire de 5% l'an sur la somme de 19'883 francs. 6. En conclusion, l'appel doit être partiellement admis et le jugement entrepris réformé dans le sens des considérants qui précèdent. Le demandeur obtenant en définitive une indemnité inférieure à celle allouée par les premiers juges, il convient en outre de réduire d'un cinquième les dépens de première instance en sa faveur, dont le montant est ainsi fixé à 11'749 fr. ( 4 / 5 x 14'687 francs). Aucune des parties n'obtenant entièrement gain de cause dans la procédure d'appel, il y a lieu de répartir les frais judiciaires de deuxième instance, arrêtés à 900 fr. (art. 62 al. 1 TFJC [tarif des frais judiciaires civils du 28 septembre 2010; RSV 270.11.5]), par moitié entre elles (art. 106 al. 2 CPC). Cela étant, l'intimé doit verser à l'appelante la somme de 450 fr. à titre de restitution partielle d'avance de frais de deuxième instance (art. 111 al. 2 CPC), les dépens de deuxième instance étant pour le surplus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