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342 vom 21. Mai 2012</w:t>
      </w:r>
    </w:p>
    <w:p>
      <w:r>
        <w:t>VD Tribunal cantonal, 2012-05-21, FR</w:t>
      </w:r>
    </w:p>
    <w:p>
      <w:r>
        <w:rPr>
          <w:b/>
        </w:rPr>
        <w:t xml:space="preserve">Quelle: </w:t>
      </w:r>
      <w:r>
        <w:t>https://mcp.opencaselaw.ch/entscheid/vd_findinfo_HC___2012___342</w:t>
      </w:r>
    </w:p>
    <w:p>
      <w:r>
        <w:t>FR: VD_FINDINFO HC / 2012 / 342 du 21 mai 2012</w:t>
      </w:r>
    </w:p>
    <w:p>
      <w:r>
        <w:t>IT: VD_FINDINFO HC / 2012 / 342 del 21 maggio 2012</w:t>
      </w:r>
    </w:p>
    <w:p>
      <w:pPr>
        <w:pStyle w:val="Heading2"/>
      </w:pPr>
      <w:r>
        <w:t>Regeste</w:t>
      </w:r>
    </w:p>
    <w:p>
      <w:r>
        <w:t>DROIT DE GARDE, INTÉRÊT DE L'ENFANT | 176 al. 1 ch. 1 CC, 176 al. 3 CC, 317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partiellement non patrimoniales et sur des conclusions patrimoniales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a)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même aux cas régis par la maxime inquisitoire. Une solution plus souple peut être envisagée lorsque la cause est en outre régie par la maxime d’office (art. 296 CPC), par exemple sur la situation des enfants mineurs en droit matrimonial (JT 2011 III 43). b) En l’espèce, le litige porte essentiellement sur la garde de l’enfant, de sorte que les témoignages écrits et la lettre de l’enfant B.C.________, pièces postérieures au prononcé querellé, sont recevables. Quant aux autres pièces produites à l’appui de l’appel, elles doivent également être admises dans la mesure où elles peuvent avoir une incidence sur la situation de l’enfant mineur.</w:t>
      </w:r>
    </w:p>
    <w:p>
      <w:r>
        <w:rPr>
          <w:b/>
        </w:rPr>
        <w:t>E. 4</w:t>
      </w:r>
    </w:p>
    <w:p>
      <w:r>
        <w:t>a) L’appelant invoque le désir de sa fille de vivre auprès de lui pour solliciter la garde.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(François Chaix, in Pichonnaz/Foëx (éd.), Commentaire romand, Code civil I, 2010, n. 19 ad art. 176 CC; Juge délégué CACI 20 décembre 2011/411).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peut en faire abstraction notamment lorsque l'attitude négative de l'enfant est essentiellement influencée par celle du parent titulaire du droit de garde (TF 5 C.250/2005 du 3 janvier 2006 c.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 3.2.; TF 5A_716/2010 du 23 février 2011 c. 4, FamPra.ch 2011 p. 491). c) En l’espèce, plusieurs éléments entrent en considération. D’abord, comme le premier juge, il faut admettre que les deux parents ont des capacités éducatives suffisantes pour se voir attribuer la garde. S’il est vrai que l’appelant, par son statut d’enseignant, a des horaires compatibles avec ceux de B.C.________, l’intimée est davantage disponible en raison de ses activités professionnelles à temps partiel dans une crèche à [...]. L’enfant a été entendue en première instance par la présidente du tribunal qui a statué. B.C.________ a exprimé son souhait d’une garde alternée. Celle-ci ne peut toutefois être envisagée que si les parents sont d’accord, ce qui n’est pas le cas en l’occurrence, la mère estimant qu’un changement constant de lieu de vie n’assurerait pas un cadre suffisamment stable à B.C.________. Le premier juge a également souligné ce besoin de stabilité, en observant que B.C.________ a vécu avec sa mère depuis la séparation au domicile conjugal. Les volontés exprimées depuis lors par l’enfant ne modifient pas cette appréciation. D’abord, B.C.________ vient juste d’avoir 12 ans et son avis ne doit pas être à lui seul décisif. Ensuite, la formulation « j’aimerais que la garde soit à mon père » laisse supposer une influence parentale, d’autant que l’appelant produit à l’appui de ses conclusions deux témoignages écrits qu’il a manifestement sollicités et qui paraissent par ailleurs manquer de distance critique. Enfin sur ce point, dans sa dernière lettre au juge, B.C.________ exprime surtout et à nouveau sa tristesse de ne pouvoir, comme elle l’écrit « rester 50% avec son père et 50% avec sa mère », ce qui correspond précisément à l’opinion manifestée devant le premier juge et qui consacre bien des compétences éducatives égales, même selon l’enfant. Il n’y a donc pas suffisamment de motifs pour modifier la solution du premier juge, d’autant qu’il a tenu compte des capacités et de la disponibilité du père pour définir un très large droit de visite, comprenant aussi des jours de semaine. Ce grief doit dès lors être rejeté.</w:t>
      </w:r>
    </w:p>
    <w:p>
      <w:r>
        <w:rPr>
          <w:b/>
        </w:rPr>
        <w:t>E. 5</w:t>
      </w:r>
    </w:p>
    <w:p>
      <w:r>
        <w:t>L’appelant invoque également qu’il ne doit pas être astreint au versement d’une contribution d’entretien en faveur de son épouse, mais modifie le calcul de ses charges incompressibles sur la base du fait qu’il obtiendrait la garde de l’enfant. Or, tel n’est pas le cas. Tout au plus peut-on observer que le montant retenu par le premier juge pour ses frais de transport est adéquat, soit 252 fr. par mois. En effet,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TF 5P.238/2005 du 28 novembre 2005). La prise en compte du leasing de voiture n’est donc pas possible en l’espèce. Quant au montant mensuel de l’assurance-maladie de l’appelant, il ne s’élève, à teneur des pièces produites, pas à 383 fr. 20 comme allégué dans l’appel, mais à 216 fr.50, soit à un montant très légèrement inférieur à celui retenu par le premier juge. Ce grief doit par conséquent être rejeté.</w:t>
      </w:r>
    </w:p>
    <w:p>
      <w:r>
        <w:rPr>
          <w:b/>
        </w:rPr>
        <w:t>E. 6</w:t>
      </w:r>
    </w:p>
    <w:p>
      <w:r>
        <w:t>Au vu de ce qui précède, l’appel doit être rejeté en vertu de l’art. 312 al. 1 CPC et le prononcé attaqué confirmé.</w:t>
      </w:r>
    </w:p>
    <w:p>
      <w:r>
        <w:rPr>
          <w:b/>
        </w:rPr>
        <w:t>E. 7</w:t>
      </w:r>
    </w:p>
    <w:p>
      <w:r>
        <w:t>L’appel étant dépourvu de chance de succès, la requête d’assistance judiciaire de l’appelant doit être rejetée (art. 117 let. b CPC). Les frais judiciaires de deuxième instance, arrêtés à 600 fr. (art. 65 al. 2 TFJC), sont dès lors mis à sa charge (art. 106 al. 1 CPC). L’initmée n’ayant pas été invitée à se déterminer, il n’y a pas lieu de lui allouer de dépens.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A.C.________. V. L’arrêt motivé est exécutoire. Le juge délégué : La greffière : Du 22 mai 2012 Le dispositif de l'arrêt qui précède est communiqué par écrit aux intéressés. La greffière : Du L'arrêt qui précède, dont la rédaction a été approuvée à huis clos, est notifié en expédition complète, par l'envoi de photocopies, à : ‑ Me Laure Chappaz (pour A.C.________), ‑ Me Aba Neeman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