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340 vom 23. Mai 2012</w:t>
      </w:r>
    </w:p>
    <w:p>
      <w:r>
        <w:t>VD Tribunal cantonal, 2012-05-23, FR</w:t>
      </w:r>
    </w:p>
    <w:p>
      <w:r>
        <w:rPr>
          <w:b/>
        </w:rPr>
        <w:t xml:space="preserve">Quelle: </w:t>
      </w:r>
      <w:r>
        <w:t>https://mcp.opencaselaw.ch/entscheid/vd_findinfo_HC___2012___340</w:t>
      </w:r>
    </w:p>
    <w:p>
      <w:r>
        <w:t>FR: VD_FINDINFO HC / 2012 / 340 du 23 mai 2012</w:t>
      </w:r>
    </w:p>
    <w:p>
      <w:r>
        <w:t>IT: VD_FINDINFO HC / 2012 / 340 del 23 maggio 2012</w:t>
      </w:r>
    </w:p>
    <w:p>
      <w:pPr>
        <w:pStyle w:val="Heading2"/>
      </w:pPr>
      <w:r>
        <w:t>Regeste</w:t>
      </w:r>
    </w:p>
    <w:p>
      <w:r>
        <w:t>ASSISTANCE JUDICIAIRE, AVOCAT D'OFFICE, INDEMNITÉ ÉQUITABLE | 122 al. 1 let. a CPC (CH), 2 al. 1 RAJ</w:t>
      </w:r>
    </w:p>
    <w:p>
      <w:pPr>
        <w:pStyle w:val="Heading2"/>
      </w:pPr>
      <w:r>
        <w:t>Erwägungen</w:t>
      </w:r>
    </w:p>
    <w:p>
      <w:r>
        <w:rPr>
          <w:b/>
        </w:rPr>
        <w:t>E. 30</w:t>
      </w:r>
    </w:p>
    <w:p>
      <w:r>
        <w:t>minutes au lieu d'une heure, le poste « Préparation de l'audience du 15 septembre 2011 » 30 minutes au lieu de 1 h 30 et le poste « Audience et déplacements le 15 septembre 2011 » 2 h 30 au lieu de 3 h 30, sachant que l'audience a duré 1 h 20 et que les deux heures facturées pour le déplacement n'ont pas à être rémunérées dans leur intégralité. Quant au contexte conflictuel de l'affaire et à la communication difficile avec la cliente dont le recourant se prévaut pour justifier de « nombreuses opérations », on peut considérer qu'il en est déjà tenu compte dans la correspondance et les entretiens facturés (cf. liste des opérations ci-dessus, 2 e et 3 e postes). L’appréciation du premier juge quant à la durée nécessaire à l’accomplissement du mandat doit dès lors être confirmée et le premier grief rejeté. 4. a) Le recourant fait valoir aussi que c’est à tort que le montant de ses débours a été ramené à la somme forfaitaire de 100 fr., dès lors que ses frais effectifs se sont élevés à 329 fr. 50. b) Selon l’art. 3 al. 3 RAJ, en l’absence de liste de débours, le conseil juridique commis d’office reçoit une indemnité forfaitaire de 50 fr. pour une affaire transigée avant l’ouverture d’action et de 100 fr. dans les autres cas. Cette disposition n’est pas directement applicable en l’espèce puisque le recourant a établi une liste de débours. Il faut donc déterminer ce que ceux-ci comprennent. Comme l’a exposé la Chambre des recours Il dans un arrêt du 8 décembre 2009/248 c. 4b, les débours consistent dans le paiement effectif d’une somme précise pour une opération déterminée, et non pas dans les frais de confection des pièces ordinaires, qui sont inclus dans les frais généraux (Poudret/Haldy/Tappy, Procédure civile vaudoise, 3 e éd., 2002, n. 5 ad art. 91 CPC-VD,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ss, cité par Jomini, Les honoraires et débours de l’avocat vaudois et leur modération, in JT 1982 III 2, n. 9 p. 5).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la 22 c. 4b). Ce dernier arrêt, qui traite de la rémunération de l’avocat d’office, rappelle que l’avocat a droit au remboursement de ses débours, en particulier de ses frais de téléphone et de vacation, voire « les frais de photocopie, autant qu’ils ne sont pas compris dans les frais généraux de l’étude ».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c) En l’espèce, les frais d’ouverture de dossier, de correspondance et de photocopies sont compris dans les frais généraux, de sorte que subsistent comme débours facturés séparément le déplacement à l’audience par 17 fr. 50 et les téléphones par 32 francs. Le total étant inférieur à 100 fr., c’est à bon droit que le premier juge a alloué l’indemnité forfaitaire de l’art. 3 al. 3 RAJ. 5. Il résulte de ce qui précède que le recours doit être rejeté dans la procédure de l'art. 322 al. 1 CPC et la décision entreprise confirmée. Les frais judiciaires de deuxième instance, arrêtés à 150 fr. (art. 75 TFJC [tarif des frais judiciaires en matière civile du 28 septembre 2010; RSV 270.11.5] par analogie), doivent être mis à la charge du recourant qui succombe (art. 106 al. 1 CPC). Il n’y a pas matière à allouer de dépens.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B.________. IV. L'arrêt motivé est exécutoire. Le président :               La greffière : Du 24 mai 2012 Le dispositif de l'arrêt qui précède est communiqué par écrit aux intéressés. La greffière : Du L'arrêt qui précède, dont la rédaction a été approuvée à huis clos, est notifié en expédition complète, par l'envoi de photocopies, à : ‑ Me B.________ La Chambre des recours civile considère que la valeur litigieuse est de 1'398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