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34 vom 16. Januar 2012</w:t>
      </w:r>
    </w:p>
    <w:p>
      <w:r>
        <w:t>VD Tribunal cantonal, 2012-01-16, FR</w:t>
      </w:r>
    </w:p>
    <w:p>
      <w:r>
        <w:rPr>
          <w:b/>
        </w:rPr>
        <w:t xml:space="preserve">Quelle: </w:t>
      </w:r>
      <w:r>
        <w:t>https://mcp.opencaselaw.ch/entscheid/vd_findinfo_HC___2012___34</w:t>
      </w:r>
    </w:p>
    <w:p>
      <w:r>
        <w:t>FR: VD_FINDINFO HC / 2012 / 34 du 16 janvier 2012</w:t>
      </w:r>
    </w:p>
    <w:p>
      <w:r>
        <w:t>IT: VD_FINDINFO HC / 2012 / 34 del 16 gennaio 2012</w:t>
      </w:r>
    </w:p>
    <w:p>
      <w:pPr>
        <w:pStyle w:val="Heading2"/>
      </w:pPr>
      <w:r>
        <w:t>Regeste</w:t>
      </w:r>
    </w:p>
    <w:p>
      <w:r>
        <w:t>RETARD INJUSTIFIÉ | 319 let. c CPC (CH)</w:t>
      </w:r>
    </w:p>
    <w:p>
      <w:pPr>
        <w:pStyle w:val="Heading2"/>
      </w:pPr>
      <w:r>
        <w:t>Erwägungen</w:t>
      </w:r>
    </w:p>
    <w:p>
      <w:r>
        <w:rPr>
          <w:b/>
        </w:rPr>
        <w:t>E. 1</w:t>
      </w:r>
    </w:p>
    <w:p>
      <w:r>
        <w:t>CEDH n'offre pas, à cet égard, une protection plus étendue (ATF 130 I 312 c. 5.1 p. 332). Le retard injustifié couvre l’hypothèse d’une absence de décision constitutive de déni de justice matériel (Jeandin, CPC commenté n. 3 ad art. 320 CPC).</w:t>
      </w:r>
    </w:p>
    <w:p>
      <w:r>
        <w:rPr>
          <w:b/>
        </w:rPr>
        <w:t>E. 2</w:t>
      </w:r>
    </w:p>
    <w:p>
      <w:r>
        <w:t>En l’espèce, ni le magistrat précédent, ni le magistrat actuellement en charge du dossier n’ont violé leur devoir de diligence. Ils ont au contraire témoigné du souci de faire avancer la procédure, comme l’atteste le nombre d’opérations effectuées, opérations dont la Cour de céans, saisie d’un recours limité au déni de justice matériel, n’a pas à vérifier l’opportunité. Certes, on peut donner acte au recourant qu’il n’est pas admissible qu’un conflit du droit du travail ne puisse pas être tranché dans un délai de 6 ans. Cela étant, le retard considérable qu’a pris le traitement de ce dossier n’est pas dû à l’inaction des magistrats successifs. Il est ainsi exceptionnel qu’un expert – qui plus est, professeur à l'Université - se fasse relever de sa mission sans indemnité (Poudret/Haldy/Tappy, op. cit., n. 2 ad art. 224 CPC-VD et les références). On peut aussi comprendre le souci du magistrat d’utiliser l'art. 224 CPC-VD avec prudence, tant il est vrai que sous l’angle de l’exigence de la célérité, il vaut mieux fixer des prolongations de délai à l’expert – dont le magistrat ignore à ce moment l’état d’avancement de ses travaux – plutôt que de le relever et d’en désigner un nouveau qui devra alors reprendre à zéro le travail entamé par son prédécesseur. La critique du recourant n’est donc pas, à cet égard, fondée. En outre, le cas d’espèce montre combien il est difficile de trouver un expert. On peut encore observer que le recourant n’a rien fait pour faciliter le traitement du dossier. Il s’est obstiné à proposer un expert que les parties adverses récusaient sans faire d’autre proposition. Il a refusé une expertise médico-sociale après l’avoir admise dans un premier temps. Il a refusé de délier sa caisse de pension du secret de fonction en soutenant, à tort, qu’il avait recouru contre la décision d’invalidité définitive ce qui a conduit le juge à suspendre l’audience préliminaire pour demander des précisions à la Caisse. Le demandeur a rejeté l’idée d’une audience de conciliation qui aurait pu, sinon aboutir, du moins permettre d’adopter des solutions constructives et utiles au jugement de sa cause. 32. Dès lors mal fondé, le recours doit être rejeté. Les frais judiciaires de deuxième instance, arrêtés à 100 fr. (art. 73 TFJC [tarif des frais judiciaires civils du 28 septembre 2010; RSV 270.11.5]), sont mis à la charge du recourant. Les co-intimés n’ayant pas été invités à se déterminer, il n’y a pas lieu d’allouer des dépens de deuxième instance. Par ces motifs, la Chambre des recours civile du Tribunal cantonal, statuant à huis clos, en application de l'art. 322 al. 1 CPC, prononce : I. Le recours est rejeté. II. Les frais judiciaires de deuxième instance, arrêtés à 100 fr. (cent francs), sont mis à la charge du recourant J.________. III. L'arrêt motivé est exécutoire. Le président :               La greffière : Du 17 janvier 2012 Le dispositif de l'arrêt qui précède est communiqué par écrit aux intéressés. La greffière : Du L'arrêt qui précède, dont la rédaction a été approuvée à huis clos, est notifié en expédition complète, par l'envoi de photocopies, à : ‑ M. Philippe Kitsos (pour J.________), ‑ M. Philippe-Edouard Journot (pour Commune de S.________), - Me Eric Kaltenrieder (pour U.________).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