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336 vom 26. März 2012</w:t>
      </w:r>
    </w:p>
    <w:p>
      <w:r>
        <w:t>VD Tribunal cantonal, 2012-03-26, FR</w:t>
      </w:r>
    </w:p>
    <w:p>
      <w:r>
        <w:rPr>
          <w:b/>
        </w:rPr>
        <w:t xml:space="preserve">Quelle: </w:t>
      </w:r>
      <w:r>
        <w:t>https://mcp.opencaselaw.ch/entscheid/vd_findinfo_HC___2012___336</w:t>
      </w:r>
    </w:p>
    <w:p>
      <w:r>
        <w:t>FR: VD_FINDINFO HC / 2012 / 336 du 26 mars 2012</w:t>
      </w:r>
    </w:p>
    <w:p>
      <w:r>
        <w:t>IT: VD_FINDINFO HC / 2012 / 336 del 26 marzo 2012</w:t>
      </w:r>
    </w:p>
    <w:p>
      <w:pPr>
        <w:pStyle w:val="Heading2"/>
      </w:pPr>
      <w:r>
        <w:t>Regeste</w:t>
      </w:r>
    </w:p>
    <w:p>
      <w:r>
        <w:t>HONORAIRES, AVOCAT, MODÉRATION | 51 LPAv, 76 LPA-VD</w:t>
      </w:r>
    </w:p>
    <w:p>
      <w:pPr>
        <w:pStyle w:val="Heading2"/>
      </w:pPr>
      <w:r>
        <w:t>Erwägungen</w:t>
      </w:r>
    </w:p>
    <w:p>
      <w:r>
        <w:rPr>
          <w:b/>
        </w:rPr>
        <w:t>E. 1</w:t>
      </w:r>
    </w:p>
    <w:p>
      <w:r>
        <w:t>Aux termes de l'art. 51 LPAv (loi du 24 septembre 2002 sur la profession d'avocat; RSV 177.11), la décision de modération peut faire l'objet d'un recours à la Cour de modération, conformément à la loi d'organisation judiciaire. Le délai de recours est de trente jours dès la notification de la décision et la procédure est fixée par la loi sur la procédure administrative. Selon l'art. 73 al. 2 LOJV (loi du 12 septembre 1979 d'organisation judiciaire; RSV 173.01), la Chambre des recours civile du Tribunal cantonal est compétente. S'agissant d'une décision finale (art. 74 al. 1 LPA-VD [loi du 28 octobre 2008 sur la procédure administrative; RSV 173.36]) attaquée par une partie qui a un intérêt au recours (art. 75 LPA-VD) et qui agit en temps utile, le recours est ainsi recevable.</w:t>
      </w:r>
    </w:p>
    <w:p>
      <w:r>
        <w:rPr>
          <w:b/>
        </w:rPr>
        <w:t>E. 2</w:t>
      </w:r>
    </w:p>
    <w:p>
      <w:r>
        <w:t>Le recourant peut invoquer la violation du droit, y compris l'excès ou l'abus du pouvoir d'appréciation, la constatation inexacte ou incomplète des faits pertinents ou l'inopportunité (art. 76 LPA-VD). L'autorité de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O.________ fait valoir plusieurs moyens à l'appui de son recours. a) La recourante affirme que l'avocate intimée n'était pas au bénéfice d'une procuration signée pour la représenter et agir en son nom dans le cadre de la cause pénale la concernant ouverte par le Juge d'instruction de l'arrondissement de La Côte. Ce moyen s'avère toutefois mal fondé dès lors que le dossier pénal ouvert par le juge d'instruction comprend bien une procuration du 17 février 2010 signée par la recourante en faveur de Me R.________ (pièce 14), qui comporte une signature identique à celle figurant au pied du présent recours et que l'avocate prénommée a transmise au juge d'instruction par courrier du 8 mars 2010 (pièce 13). La recourante fait par ailleurs valoir que le numéro de référence du dossier serait entaché d'inexactitude. Ce grief tombe cependant à faux, dès lors que la procuration susmentionnée se rapporte bien à l'affaire qui était pendante, à l'époque, devant le juge d'instruction (cf. lettre de ce dernier du 8 mars 2010 figurant au dossier pénal sous pièce 12, qui comporte le numéro de référence PE09. [...], identique au numéro de référence mentionné sur la procuration). b) La recourante conteste le travail accompli par l'avocate intimée dans l'affaire en cause, relevant que celle-ci n'a pas consulté le dossier d'enquête. Cette critique est toutefois dépourvue de portée. Il importe peu en effet que l'intimée n'ait pas pu consulter le dossier d'enquête, pour les motifs qu'elle explique à sa cliente dans sa lettre du 22 février 2010 (sous pièce 26/2), dès lors que rien n'est facturé à ce titre dans la note d'honoraires litigieuse, dont le détail ne fait état que de lettres et d'un " mémo cliente ". La recourante met en outre en cause la durée de 9 heures de travail d'avocat pour les opérations exécutées dans le cadre du mandat. C'est cependant à tort qu'elle impute ce nombre d'heures à l'avocate intimée dès lors que celui-ci résulte uniquement d'une estimation du premier juge, que l'on peut qualifier de surfaite dans la mesure où une telle durée de travail représenterait un montant d'honoraires de près de 3'000 francs. En l'occurrence, les opérations facturées se rapportent exclusivement à des lettres et un mémo et l'on ne saurait taxer d'excessif le montant de 511 fr. 40 faisant l'objet de la note d'honoraires et correspondant à un mandat de quelques semaines. Le moyen doit donc être rejeté. c) Enfin, la recourante fait valoir que la procédure pénale ouverte à son encontre a été classée " sans qu'aucun mémo ou détermination n'ait été nécessaire ". Le fait que le dossier ait été classé par la suite n'est cependant pas déterminant. En effet, en tant que mandataire, l'avocat n'a pas à garantir de résultat, mais uniquement une activité déployée dans les règles de l'art (ATF 127 III 357 c. 1b, traduit in JT 2002 I 192, et les références jurisprudentielles citées). Par conséquent, l'intimée a le droit d'être rémunérée pour le travail qu'elle a effectué au service de la recourante. Quant aux prétendues mauvaises prestations de l'intimée dans le cadre d'une autre affaire auxquelles se réfère la recourante, elles sont dépourvues de pertinence en l'espèce. Les griefs de la recourante tombent par conséquent à faux.</w:t>
      </w:r>
    </w:p>
    <w:p>
      <w:r>
        <w:rPr>
          <w:b/>
        </w:rPr>
        <w:t>E. 4</w:t>
      </w:r>
    </w:p>
    <w:p>
      <w:r>
        <w:t>Cela étant, le recours doit être rejeté, en application de l'art. 322 al. 1 CPC, et le prononcé entrepris confirmé. Les frais judiciaires de deuxième instance, arrêtés en équité à un montant de 100 fr. en application des art. 6 al. 3 et 75 TFJC [tarif des frais judiciaires civils du 28 septembre 2010; RSV 270.11.5]), sont mis à la charge de la recourante. Il n'est pas alloué de dépens de deuxième instance, l'intimée n'ayant pas été invitée à se déterminer sur le recours. Par ces motifs, la Chambre des recours civile du Tribunal cantonal, statuant à huis clos, en application de l'art. 322 al. 1 CPC, prononce : I. Le recours est rejeté. II. Le prononcé est confirmé. III. Les frais judiciaires de deuxième instance, par 100 fr. (cent francs), sont mis à la charge de la recourante O.________. IV. L'arrêt motivé est exécutoire. Le président :               Le greffier : Du 27 mars 2012 Le dispositif de l'arrêt qui précède est communiqué par écrit aux intéressés. Le greffier : Du L'arrêt qui précède, dont la rédaction a été approuvée à huis clos, est notifié en expédition complète, par l'envoi de photocopies, à : ‑ O.________, ‑ Me R.________. La Chambre des recours civile considère que la valeur litigieuse est de 511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Procureur du Ministère public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