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335 vom 23. Mai 2012</w:t>
      </w:r>
    </w:p>
    <w:p>
      <w:r>
        <w:t>VD Tribunal cantonal, 2012-05-23, FR</w:t>
      </w:r>
    </w:p>
    <w:p>
      <w:r>
        <w:rPr>
          <w:b/>
        </w:rPr>
        <w:t xml:space="preserve">Quelle: </w:t>
      </w:r>
      <w:r>
        <w:t>https://mcp.opencaselaw.ch/entscheid/vd_findinfo_HC___2012___335</w:t>
      </w:r>
    </w:p>
    <w:p>
      <w:r>
        <w:t>FR: VD_FINDINFO HC / 2012 / 335 du 23 mai 2012</w:t>
      </w:r>
    </w:p>
    <w:p>
      <w:r>
        <w:t>IT: VD_FINDINFO HC / 2012 / 335 del 23 maggio 2012</w:t>
      </w:r>
    </w:p>
    <w:p>
      <w:pPr>
        <w:pStyle w:val="Heading2"/>
      </w:pPr>
      <w:r>
        <w:t>Regeste</w:t>
      </w:r>
    </w:p>
    <w:p>
      <w:r>
        <w:t>EXPULSION DE LOCATAIRE | 257d al. 1 CO, 257d al. 2 CO, 257d CO, 257 CPC (CH)</w:t>
      </w:r>
    </w:p>
    <w:p>
      <w:pPr>
        <w:pStyle w:val="Heading2"/>
      </w:pPr>
      <w:r>
        <w:t>Erwägungen</w:t>
      </w:r>
    </w:p>
    <w:p>
      <w:r>
        <w:rPr>
          <w:b/>
        </w:rPr>
        <w:t>E. 1</w:t>
      </w:r>
    </w:p>
    <w:p>
      <w:r>
        <w:t>a) L’ordonnance attaquée a été rendue le 30 mars 2012, de sorte que les voies de droit sont régies par le CPC (Code de procédure civile suisse du 19 décembre 2008, RS 272), entré en vigueur le 1 er janvier 2011 (art. 405 al. 1 CPC ; ATF 137 III 127 ; ATF 137 III 130 ; Tappy, in CPC commenté, Bâle 2011, nn. 5 ss ad art. 405 CPC). b) Le litige porte en l’occurrence sur le bien-fondé d’une ordonnance rendue par un juge de paix rejetant une requête d’expulsion fondée sur un défaut de paiement de loyers.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2003 III 83 et les réf. citées). En l'espèce, le loyer mensuel des locaux litigieux s'élève à 150 francs. Alors que Fonds de prévoyance X.________ requiert l’expulsion de Z.________ Sàrl, celle-ci souhaite apparemment pouvoir continuer à utiliser ses locaux, soit le maintien du bail qui a été conclu pour une durée indéterminée, mais peut être résilié pour la fin d’un mois, moyennant un préavis de trois mois. La valeur litigieuse est donc, eu égard aux principes énoncés ci-avant, de 5'400 fr. (36 x 150 fr.), ce qui ouvre la voie du recours. Seule la voie du recours étant ouverte en l’espèce, conformément d’ailleurs à l’indication des voies de droit au pied de l’ordonnance attaquée, il y a lieu de traiter l’ « appel » comme un recours (CREC 30 décembre 2011/270). Le délai pour l’introduction du recours est de trente jours, sauf notamment contre les décisions prises en procédure sommaire auquel cas le délai est de dix jours (art. 321 al. 1 et 2 CPC). En l’espèce, la bailleresse a requis l’application de la procédure dans les cas clairs (art. 257 CPC) et le premier juge en a fait application. Une telle procédure étant sommaire, le délai de recours n’est que de dix jours. Déposé le 4 avril 2012 par une partie qui y a intérêt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soutient que les conditions légales de l’art. 257d CO étaient remplies pour la résiliation du bail, sa mise en demeure du 1 er septembre 2011 contenant l’avis comminatoire exigé par cette disposition et l’intimée n’ayant effectué aucun versement, dans le délai de trente jours qui lui était imparti, pour régler l’arriéré de loyers réclamé. b) aa)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Si l’une des conditions d’application de l’art. 257d CO n’est pas réalisée, le congé est inefficace (Lachat, Le bail à loyer, Lausanne 2008, pp. 670-671).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Chambre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(sur le tout : CACI 13 janvier 2012 c. 3b/cc et les réf. citées ; CREC I 25 mars 2010/151, in Cahiers du Bail [CdB] 2010, p. 141 ; CREC I 28 août 2007/420, résumé in CdB 2007, p. 129). bb) A teneur de l'art. 257 CPC, le tribunal admet l'application de la procédure sommaire lorsque l'état de fait n'est pas litigieux ou est susceptible d'être immédiatement prouvé et que la situation juridique est claire. La procédure du cas clair permet d'obtenir rapidement une décision sur le fond. Les règles des art. 252 à 256 CPC sont applicables. Le juge ne peut refuser de se saisir lorsque les conditions en sont remplies. De manière générale, l’art. 257 CPC n’est pas seulement applicable lorsque l’état de fait est incontesté, mais également lorsque, s’il l’est, il est susceptible d’être immédiatement prouvé, notamment sur la base de moyens de preuve immédiatement disponibles, en particulier des pièces, d’autres moyens de preuve (audition de témoins amenés directement par les parties ou brève vision locale) n’étant cependant pas exclus.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Ce n’est dès lors que si le défendeur fait valoir des moyens – objections ou exceptions – qui n’apparaissent pas d’emblée voués à l’échec et qui supposent une administration de preuves complexe, que la protection doit être refusée. Autrement dit, le juge doit être convaincu que l'état de fait est suffisamment établi avec les moyens de preuve à disposition et que d'autres moyens de preuve ne changeraient rien au résultat. On considère par ailleurs que la situation juridique est claire lorsque, sur la base d'une doctrine ou d'une jurisprudence éprouvée, la norme s'applique au cas concret et y déploie ses effets de manière évidente (sur le tout : JT 2011 III 146 c. 5b/aa et les réf. citées). Si l’expulsion pour défaut de paiement de loyer au sens de l’art. 257d CO relève en principe de la procédure simplifiée, rien ne s’oppose à ce qu’il soit procédé selon la procédure de cas clair lorsque les conditions légales en sont remplies. Si les conditions de l'expulsion sont remplies, le juge donne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(sur le tout : JT 2011 III 146 c. 5b/aa et les réf. citées ; également Bohnet, Expulsion par la voie du cas clair (5A_645/2011), Newsletter bail.ch février 2012). c) En l’espèce, la recourante a certes exigé de l’intimée, dans son avis comminatoire du 1 er septembre 2011, qu’elle paie ses loyers à venir par trimestre d’avance. Cela étant, la mise en demeure indiquait expressément qu’elle portait sur un montant de 300 fr. correspondant aux loyers impayés des mois d’août et de septembre 2011 et ceux-ci étaient bien échus au moment où l’avis comminatoire a été adressé à l’intimée, le contrat de bail prévoyant que les loyers mensuels sont payables d’avance. Dans la mesure où l’intimée ne s’est pas acquittée de l’arriéré de loyers réclamé dans le délai fixé, la résiliation de bail est intervenue valablement. La question de savoir si la recourante a fait usage de la faculté réservée par l’art.</w:t>
      </w:r>
    </w:p>
    <w:p>
      <w:r>
        <w:rPr>
          <w:b/>
        </w:rPr>
        <w:t>E. 7</w:t>
      </w:r>
    </w:p>
    <w:p>
      <w:r>
        <w:t>al. 2 RULV, tout comme celle de savoir si, dans l’affirmative, elle aurait respecté les modalités prévues par cette disposition, n’a guère de pertinence en l’espèce, les loyers visés par l’avis comminatoire étant en tout état de cause échus au moment où celui-ci a été adressé à l’intimée. Aussi le premier juge aurait-il dû prononcer l’expulsion de l’intimée dès lors que les conditions de l’art. 257 CPC étaient remplies, l’état de fait étant susceptible d’être immédiatement prouvé et la situation juridique étant claire. Bien fondé, le moyen de la recourante doit être admis. 4. En conclusion, le recours doit être admis et l’ordonnance réformée en ce sens que l’expulsion est prononcée dans le sens des conclusions prises par la recourante. Partant, il y a lieu de renvoyer la cause au premier juge pour qu’il fixe à l’intimée, une fois les considérants du présent arrêt envoyés pour notification aux parties, un délai pour libérer les locaux qu’elle occupe. Il y a lieu également de réformer la répartition des frais de première instance en ce sens que les frais judiciaires, arrêtés à 300 fr., sont mis à la charge de l’intimée qui succombe (art. 106 al. 1 CPC), celle-ci devant en outre verser à la recourante la somme de 900 fr. (art. 11 TDC [Tarif des dépens en matière civile du 23 novembre 2010, RSV 270.11.6]) à titre de dépens et de restitution d’avance de frais. Les frais judiciaires de deuxième instance, arrêtés à 100 fr. (art. 62 al. 3 et 69 al. 1 TFJC [Tarif des frais judiciaires civils du 28 septembre 2010, RSV 270.11.5], sont mis à la charge de l’intimée qui succombe (art. 106 al. 1 CPC). Vu le sort du recours, la recourante a droit à des dépens de deuxième instance et à la restitution de son avance de frais, par 400 fr. (art. 8 TDC), à charge de l’intimée. Par ces motifs, la Chambre des recours civile du Tribunal cantonal, statuant à huis clos, prononce : I. Le recours est admis. II. L’ordonnance est réformée comme il suit : I. ordonne à Z.________ Sàrl de quitter et rendre libres les locaux qu’elle occupe sis [...], au Mont-sur-Rolle, soit un local commercial de 14m2 au rez-de-chaussée ainsi que les éventuelles dépendances remises à bien plaire, cave et/ou galetas dans le délai qui lui sera imparti par le Juge de paix du district de Nyon ; II. dit qu’à défaut de quitter volontairement ces locaux, elle y sera contrainte par la force, selon les règles prévues à l’art. 343 al. 1 let. d CPC, étant précisé que : a) l’exécution forcée aura lieu par les soins de l’huissier de paix ou de son remplaçant, sous la présidence du juge de paix ; b) l’office pourra pénétrer dans les locaux objet de cette ordonnance même par voie d’ouverture forcée, les agents de la force publique étant tenus, sur réquisition, de concourir à l’exécution forcée ; III. met les frais judiciaires, par 300 fr. (trois cents francs), à la charge du locataire ; IV. dit que Z.________ Sàrl versera à Fonds de prévoyance X.________ la somme de 900 fr. (neuf cents francs) à titre de dépens et de restitution de l’avance de frais. III. La cause est renvoyée au Juge de paix du district de Nyon pour qu’il fixe à Z.________ Sàrl, une fois les considérants du présent arrêt envoyés pour notification aux parties, un délai pour libérer les locaux qu’elle occupe conformément au chiffre II/I ci-dessus. IV. Les frais judiciaires de deuxième instance, par 100 fr. (cent francs), sont mis à la charge de l’intimée. V. L’intimée Z.________ Sàrl doit verser à la recourante Fonds de prévoyance X.________ la somme de 400 fr. (quatre cents francs) à titre de dépens et de restitution d’avance de frais de deuxième instance. VI. L’arrêt motivé est exécutoire. Le président : Le greffier : Du 24 mai 2012 Le dispositif de l'arrêt qui précède est communiqué par écrit aux intéressés. Le greffier : Du L'arrêt qui précède, dont la rédaction a été approuvée à huis clos, est notifié en expédition complète, par l'envoi de photocopies, à : ‑ M. Jean-Marc Schlaeppi (pour Fonds de prévoyance X.________) ‑ Z.________ Sàrl La Chambre des recours civile considère que la valeur litigieuse est de 5’400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