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330 vom 23. Mai 2012</w:t>
      </w:r>
    </w:p>
    <w:p>
      <w:r>
        <w:t>VD Tribunal cantonal, 2012-05-23, FR</w:t>
      </w:r>
    </w:p>
    <w:p>
      <w:r>
        <w:rPr>
          <w:b/>
        </w:rPr>
        <w:t xml:space="preserve">Quelle: </w:t>
      </w:r>
      <w:r>
        <w:t>https://mcp.opencaselaw.ch/entscheid/vd_findinfo_HC___2012___330</w:t>
      </w:r>
    </w:p>
    <w:p>
      <w:r>
        <w:t>FR: VD_FINDINFO HC / 2012 / 330 du 23 mai 2012</w:t>
      </w:r>
    </w:p>
    <w:p>
      <w:r>
        <w:t>IT: VD_FINDINFO HC / 2012 / 330 del 23 maggio 2012</w:t>
      </w:r>
    </w:p>
    <w:p>
      <w:pPr>
        <w:pStyle w:val="Heading2"/>
      </w:pPr>
      <w:r>
        <w:t>Regeste</w:t>
      </w:r>
    </w:p>
    <w:p>
      <w:r>
        <w:t>DROIT DE GARDE | 133 CC, 137 al. 2 CC, 176 al. 1 ch. 1 CC, 176 al. 3 CC, 308 al. 1 let. b CPC (CH), 318 al. 1 let. c ch. 2 CPC (CH)</w:t>
      </w:r>
    </w:p>
    <w:p>
      <w:pPr>
        <w:pStyle w:val="Heading2"/>
      </w:pPr>
      <w:r>
        <w:t>Erwägungen</w:t>
      </w:r>
    </w:p>
    <w:p>
      <w:r>
        <w:rPr>
          <w:b/>
        </w:rPr>
        <w:t>E. 1</w:t>
      </w:r>
    </w:p>
    <w:p>
      <w:r>
        <w:t>La voie de l'appel est ouverte contre les ordonnances de mesures provisionnelles (art. 308 al. 1 let. b CPC [Code de procédure civile du 19 décembre 2008; RS 272) dans les causes non patrimoniales ou dont la valeur litigieuse dépasse 10'000 fr. (art. 308 al. 2 CPC). Les mesures provisionnelles étant soumise à la procédure sommaire (art. 248 let. d CPC), le délai d'appel est de dix jours (art. 314 al. 1 CPC). Interjeté en temps utile par une personne qui y a intérêt (art. 59 al. 2 let. a CPC) et portant sur des conclusions qui, capitalisées selon l'art. 92 al. 2 CPC sont supérieures à 10'000 francs, l'appel est recevable (art. 311 CPC).</w:t>
      </w:r>
    </w:p>
    <w:p>
      <w:r>
        <w:rPr>
          <w:b/>
        </w:rPr>
        <w:t>E. 2.1</w:t>
      </w:r>
    </w:p>
    <w:p>
      <w:r>
        <w:t>L'appel en matière de mesures provisionnelles relève de la compétence du juge unique (art. 84 al. 2 LOJV [loi du 12 décembre 1979 d'organisation judiciaire; RSV 173.01]).</w:t>
      </w:r>
    </w:p>
    <w:p>
      <w:r>
        <w:rPr>
          <w:b/>
        </w:rPr>
        <w:t>E. 2.2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Le large pouvoir d'examen en fait et en droit ainsi défini s'applique même si la décision attaquée est de nature provisionnelle (sur le tout : JT 2011 III 43 et les références citées)</w:t>
      </w:r>
    </w:p>
    <w:p>
      <w:r>
        <w:rPr>
          <w:b/>
        </w:rPr>
        <w:t>E. 2.3</w:t>
      </w:r>
    </w:p>
    <w:p>
      <w:r>
        <w:t>L'appel est principalement réformatoire. L'autorité d'appel peut toutefois à titre exceptionnel renvoyer la cause en première instance si un élément de la demande n'a pas été examiné ou si l'état de fait doit être complété sur des points essentiels (Tappy, Les voies de droit du nouveau Code de procédure civile,  JT 2010 III 148).</w:t>
      </w:r>
    </w:p>
    <w:p>
      <w:r>
        <w:rPr>
          <w:b/>
        </w:rPr>
        <w:t>E. 2.4</w:t>
      </w:r>
    </w:p>
    <w:p>
      <w:r>
        <w:t>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 138). Il appartient à l'appelant de démontrer que ces conditions sont réalisées, de sorte que l'appel doit indiquer spécialement de tels faits et preuves nouveaux et motiver spécialement les raisons qui les rendent admissibles selon lui (JT 2010 III 136-137). La jurisprudence vaudoise (JT 2011 III 43; RSPC 2011, p. 320, note approbatrice de Tappy) considère qu'en appel les novas sont soumis au régime ordinaire, même dans les causes soumises à la maxime inquisitoire (en ce sens Tappy, JT 2010 III 115; Hohl, Procédure civile, Tome II, 2 ème éd., Berne 2010, n. 2410). Toutefois ces novas peuvent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(Hohl, op. cit., n. 2415). En l'espèce, à partir du moment où le couple a deux enfants mineurs, le litige est régi par la maxime inquisitoire illimitée de l'art. 296 CPC, qui impose au juge de rechercher d'office les faits et de prendre en considération d'office tous les éléments qui peuvent être importants pour rendre une décision conforme à l'intérêt de l'enfant (Hohl, Procédure civile, Tome II, nn. 1166 ss, 1914 ss et 2414 ss). La maxime inquisitoire illimitée ne signifie pas que le juge doive donner suite à toutes les offres de preuve qui lui sont présentées (Hohl, op. cit., n. 2096); lorsqu'elle est applicable, le juge admet les faits et moyens de preuve nouveaux en tout temps en instance d'appel, jusqu'aux délibérations (Hohl, ibid. n. 2099). En l'occurrence, les pièces produites par les parties sont susceptibles d'être examinés par le juge de l'appel en application de l'art. 317 al. 1 CPC. Enfin, n'étant pas nouvelles, les conclusions sont recevables (art. 317 al. 2 CPC).</w:t>
      </w:r>
    </w:p>
    <w:p>
      <w:r>
        <w:rPr>
          <w:b/>
        </w:rPr>
        <w:t>E. 3</w:t>
      </w:r>
    </w:p>
    <w:p>
      <w:r>
        <w:t>L'appelante conteste que la garde sur les enfants [...] et [...] puisse être exercée conjointement, compte tenu du manque de dialogue entre les parties. Elle conteste au surplus que la garde soit exercée du lundi au lundi, alors que ce système n'a jamais été pratiqué. Enfin, elle estime qu'une pension doit être allouée au titulaire du droit de garde, à tout le moins principal, les factures, notamment d'assurance-maladie et de frais de garde, étant à ce jour exclusivement prises en charge par elle seule. 3.1.1 En vertu de l'art. 176 al. 3 CC (Code civil suisse du 10 décembre 1907; RS 210), relatif à l'organisation de la vie séparée, auquel renvoie l'art. 137 al. 2 aCC, lorsque les époux ont des enfants mineurs, le juge ordonne les mesures nécessaires, d'après les dispositions sur les effets de la filiation (cf. art. 273 ss CC); il peut notamment confier l'autorité parentale à un seul des parents (art. 297 al. 2 CC) ou, à plus forte raison, lui attribuer le droit de garde des enfants. Les principes posés par la jurisprudence et la doctrine en matière de divorce sont applicables par analogie (Chaix, Commentaire romand, Code civil I, n. 19 ad art. 176 CC; Bräm, Zürcher Kommentar, nn. 89 et 101 ad art. 176 CC; TF 5A_742/2008 du 22 janvier 2009 c. 3.1 publié in FamPra.ch 2009 p. 509; TF 5A_495/2008 du 30 octobre 2008 c. 3.1 publié in FamPra.ch 2009 p. 238). 3.1.2 La loi ne définit pas l'autorité parentale. La jurisprudence et la doctrine l'appréhendent comme la responsabilité et le pouvoir légal des parents de prendre les décisions nécessaires pour l'enfant mineur. Il s'agit d'un faisceau de droits et de devoirs des père et mère à l'égard de l'enfant, dont l'étendue varie en fonction de plusieurs facteurs, soit en particulier de l'âge et de la maturité de l'enfant (ATF 136 III 353; Hegnauer, Grundriss des Kindesrechts, 1999, n. 25.02; Vez, Commentaire romand, Code civil I, n. 1 ad art. 296 CC; Meier/Stettler, Droit de la filiation, 2009, n. 442). Quant au droit de garde, il est une composante de l'autorité parentale. Il comprend en particulier la faculté de déterminer le lieu de résidence et le mode d'encadrement de l'enfant (ATF 128 III 9 c. 4a; ATF 120 Ia 260 c. 2 et les références citées). En cas de vie séparée des père et mère, le domicile légal de l'enfant se trouve auprès de celui des parents auquel le droit de garde a été attribué (art. 25 al. 1 CC). Le droit de choisir le lieu de séjour, élément essentiel du droit de garde, comprend la scolarisation de l'enfant au domicile du parent titulaire du droit de garde (ATF 136 III 353 c. 3.2). Au nombre des critères essentiels pour l'attribution de la garde ou de l'autorité parentale,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A capacités équivalentes, il n'est pas arbitraire d'attribuer le droit de garde au parent qui a démontré depuis plusieurs mois qu'il pouvait s'occuper de l'enfant; la disponibilité d'un parent à collaborer avec l'autre pour ce qui a trait à l'enfant jouera un rôle déterminant (RDT 2008 p. 354). 3.1.3 L'art. 133 al. 3 CC prévoit, comme une exception au principe de l'attribution de l'autorité parentale à l'un des parents (art. 133 al. 1 CC), que sur requête conjointe des père et mère, le juge maintient l'exercice en commun de l'autorité parentale après le divorce, pour autant que cela soit compatible avec le bien de l'enfant et que les parents soumettent à sa ratification une convention qui détermine leur participation à la prise en charge de l'enfant et la répartition des frais d'entretien de celui-ci. Ainsi, même dans le cas où les parents requièrent conjointement le maintien de l'exercice en commun de l'autorité parentale après le divorce et soumettent à la ratification du juge une convention prévoyant un droit de garde conjoint, l'admissibilité d'un tel accord doit être appréciée sous l'angle du bien de l'enfant et dépend essentiellement des circonstances du cas particulier, telles que l'âge de l'enfant, la proximité des logements parentaux entre eux et avec l'école, la capacité de coopération des parents. Selon la jurisprudence, l'instauration d'un droit de garde conjoint présuppose en tous les cas l'accord des deux parents et ne peut être imposée à l'un d'entre eux contre sa volonté (TF 5C.42/2001 du 18 mai 2001    c. 3 publié in FamPra.ch 2001 p. 823; TF 5A_495/2008 du 30 octobre 2008 c. 4.2 publié in FamPra.ch 2009 p. 238). La garde alternée est la situation dans laquelle les parents exercent en commun l'autorité parentale, mais se partagent la garde de l'enfant de manière alternée pour des périodes plus ou moins égales, qui peuvent être fixées en jours ou en semaines, voire en mois. Selon la doctrine et la jurisprudence, l'instauration d'une garde alternée s'inscrit dans le cadre de l'exercice conjoint de l'autorité parentale et, partant, suppose l'accord des deux parents (Leuba/Bastons Bulletti, Commentaire romand, Code civil I, nn. 28 ss ad art. 133 CC, spéc. nn. 28, 38, 39 et 40;  TF 5A_69/2011 du 27 février 2012 c. 2.1 et références citées). Au demeurant, l'admissibilité d'une garde alternée doit être appréciée sous l'angle de l'intérêt de l'enfant (Séverine Berger, in JT 2002 I 150; TF 5P.345/2005 du 23 décembre 2005  c. 3.3; Chaix, Commentaire romand, Code civil I, n. 19 ad art. 176 CC). Elle suppose enfin la coopération des parents (TF 5A_645/2008 du 27 août 2009 c. 6).</w:t>
      </w:r>
    </w:p>
    <w:p>
      <w:r>
        <w:rPr>
          <w:b/>
        </w:rPr>
        <w:t>E. 3.2</w:t>
      </w:r>
    </w:p>
    <w:p>
      <w:r>
        <w:t>Le premier juge a constaté que lors de la séparation des parties, la garde de [...] et de [...] avait été confiée conjointement à leurs parents, selon convention du 4 novembre 2009 ratifiée pour valoir prononcé de mesures protectrices de l'union conjugale du 11 décembre 2009, et que, dès cette date, les parents avaient exercé alternativement la garde, une semaine sur deux, du lundi matin à 8 heures au dimanche soir à 22 heures. Il a également relevé que les qualités éducatives des parents étaient bonnes et que ceux-ci offraient l'un et l'autre à leurs enfants un environnement adéquat, l'intimé ayant même démissionné de son poste à Berne pour se rapprocher des enfants. Il a en revanche constaté que les parties avaient de sérieux problèmes de communication, se laissant notamment influencer par des tiers, ce qui rendait la garde conjointe compliquée. Il en a toutefois déduit qu'aucun motif sérieux ne justifiait une modification du droit de garde, les problèmes de dialogue ne facilitant pas les choses, mais n'étant pas insurmontables.</w:t>
      </w:r>
    </w:p>
    <w:p>
      <w:r>
        <w:rPr>
          <w:b/>
        </w:rPr>
        <w:t>E. 3.3</w:t>
      </w:r>
    </w:p>
    <w:p>
      <w:r>
        <w:t>L'appelante soutient que le système mis en place par la convention de mesures protectrices de l'union conjugale du 4 novembre 2009 n'a jamais été appliqué dans les faits. L'intimé l'a confirmé, mais a précisé que les aménagements, même s'ils avaient abouti à une garde largement répartie, avaient été essentiellement dictés par son épouse et qu'il s'y était plié. Toutefois, les modalités de cette garde sont relativement éloignées de ce qu'avaient prévu les parties dans la convention, à commencer par le fait que les enfants demeuraient en permanence dans la villa familiale et que leurs parents les y gardaient. A supposer que la garde alternée puisse être maintenue, sa réglementation devrait être appréciée au regard de l'intérêt des enfants et dépendre, entre autres conditions dont celle de correspondre à la réalité, de la capacité de coopération de chacun des parents à qui elle ne peut être imposée contre sa volonté. Or, en l'espèce, la mère s'y oppose. De surcroît, force est de constater que les parties n'ont aujourd'hui plus grande communication en ce qui concerne les enfants, en particulier ni sur l'école, ni sur la santé de leur fils dont le comportement semblerait devoir nécessiter qu'il prenne ou reprenne de la Ritaline, ni sur les inquiétudes de la mère à l'égard de la compagne du père des enfants et des relations que cette dernière entretient avec [...] et [...]. Dans de telles circonstances, le maintien de la garde conjointe est insoutenable et le premier juge ne pouvait l'imposer.</w:t>
      </w:r>
    </w:p>
    <w:p>
      <w:r>
        <w:rPr>
          <w:b/>
        </w:rPr>
        <w:t>E. 4</w:t>
      </w:r>
    </w:p>
    <w:p>
      <w:r>
        <w:t>Dès lors, si une telle garde n'est plus possible, faute d'accord précis sur ce point par les parties, elle doit être attribuée exclusivement à l'une ou l'autre des parties, qui la revendiquent toutes deux. A cet égard, il conviendrait de rechercher lequel des deux parents, au regard de l'ensemble des circonstances de l'espèce, serait le mieux à même d'assurer aux enfants la stabilité des relations nécessaires à un développement harmonieux des points de vue affectif, psychique, moral et intellectuel. Le premier juge s'est contenté d'affirmer que les qualités éducatives des parents étaient bonnes et que l'environnement chez l'un et l'autre était adéquat. L'appelante soulève des difficultés scolaires et comportementales chez son fils apparues depuis l'ordonnance attaquée; elle fait état de gêne et de malaise dans les relations qu'entretiennent [...] et [...] avec la compagne de leur père, et en est inquiète. Elle fait remarquer que la situation a totalement changé depuis la convention de novembre 2009 que le premier juge a simplement reconduite. Il n'y a pas lieu de procéder à de telles investigations en appel, les parties devant bénéficier d'une double instance sur ces questions fondamentales. Dès lors, il appartiendra au premier juge de déterminer, en se fondant sur l'intérêt des deux enfants uniquement, lequel des parents sera le plus à apte à obtenir la garde. A défaut de pouvoir se faire une représentation exacte des faits litigieux sur la base des preuves administrées, il sera tenu de procéder à d'autres investigations (audition des enfants, témoins, voire éventuellement évaluation ou expertise). Enfin, si l'on connaît les revenus des parties, le dossier ne permet pas d'établir précisément la question de leurs charges respectives, éléments essentiels pour statuer sur la contribution réclamée. En effet, l'instruction par le premier juge, dont le résultat figure aux pages sept et huit de l'ordonnance querellée, est trop sommaire pour que le juge d'appel puisse la réexaminer. Afin de garantir aux parties la possibilité de contester l'appréciation en fait de la situation, il convient d'annuler l'ordonnance, en application de l'art. 318 al. 1 let. c ch. 2 CPC et de renvoyer la cause au premier juge pour complément d'instruction et nouvelle décision dans le sens des considérants. Il n'y avait donc pas lieu de procéder à l'audition des témoins demandés au vu de ce qui précède.</w:t>
      </w:r>
    </w:p>
    <w:p>
      <w:r>
        <w:rPr>
          <w:b/>
        </w:rPr>
        <w:t>E. 5</w:t>
      </w:r>
    </w:p>
    <w:p>
      <w:r>
        <w:t>En conclusion, l'appel doit être admis, l'ordonnance annulée et la cause renvoyée au Président du Tribunal civil de l'arrondissement de Lausanne pour complément d'instruction et nouvelle décision dans le sens des considérants. Les frais judiciaires de deuxième instance, fixés à 600 fr. (art. 65 al. 2 TFJC [tarif du 28 septembre 2010 des frais judiciaires civils; RSV 270.11.5), doivent être mis, au vu de l'issue de l'appel, à la charge de l'intimé (art. 106 al. 1 CPC), celui-ci devant rembourser à l'appelante son avance de frais (art. 111 al. 2 CPC) et lui verser des dépens de deuxième instance, fixés à 2'000 fr. (art. 106 al. 1 CPC; 7 TDC [tarif du 23 novembre 2010 des dépens en matière civile; RSV 270.11.6]). Par ces motifs, le juge délégué de la Cour d’appel civile du Tribunal cantonal, statuant à huis clos, prononce : I. L’appel est admis. II. L'ordonnance de mesures provisionnelles du 15 mars 2012 est annulée et le dossier est renvoyé au Président du Tribunal civil de l'arrondissement de Lausanne pour nouvelle décision. III. Les frais judiciaires de deuxième instance, arrêtés à 600 fr. (six cents francs), sont mis à la charge de l'intimé. IV. L'intimé W.________ doit verser à l'appelante B.________ la somme de 2'600 fr. (deux mille six cents francs) à titre de dépens et de restitution d'avance de frais de deuxième instance. V. L'arrêt motivé est exécutoire. Le juge délégué : Le greffier : Du 23 mai 2012 Le dispositif de l'arrêt qui précède est communiqué par écrit aux intéressés. Le greffier : Du L'arrêt qui précède, dont la rédaction a été approuvée à huis clos, est notifié en expédition complète, par l'envoi de photocopies à : ‑ Me Nathalie Fluri (pour B.________), ‑ Me Patricia Michellod (pour W.________).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