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329 vom 26. April 2012</w:t>
      </w:r>
    </w:p>
    <w:p>
      <w:r>
        <w:t>VD Tribunal cantonal, 2012-04-26, FR</w:t>
      </w:r>
    </w:p>
    <w:p>
      <w:r>
        <w:rPr>
          <w:b/>
        </w:rPr>
        <w:t xml:space="preserve">Quelle: </w:t>
      </w:r>
      <w:r>
        <w:t>https://mcp.opencaselaw.ch/entscheid/vd_findinfo_HC___2012___329</w:t>
      </w:r>
    </w:p>
    <w:p>
      <w:r>
        <w:t>FR: VD_FINDINFO HC / 2012 / 329 du 26 avril 2012</w:t>
      </w:r>
    </w:p>
    <w:p>
      <w:r>
        <w:t>IT: VD_FINDINFO HC / 2012 / 329 del 26 aprile 2012</w:t>
      </w:r>
    </w:p>
    <w:p>
      <w:pPr>
        <w:pStyle w:val="Heading2"/>
      </w:pPr>
      <w:r>
        <w:t>Regeste</w:t>
      </w:r>
    </w:p>
    <w:p>
      <w:r>
        <w:t>PROTECTION DE L'UNION CONJUGALE, OBLIGATION D'ENTRETIEN, ENFANT, CONJOINT, REVENU HYPOTHÉTIQUE | 176 al. 1 ch. 1 CC</w:t>
      </w:r>
    </w:p>
    <w:p>
      <w:pPr>
        <w:pStyle w:val="Heading2"/>
      </w:pPr>
      <w:r>
        <w:t>Erwägungen</w:t>
      </w:r>
    </w:p>
    <w:p>
      <w:r>
        <w:rPr>
          <w:b/>
        </w:rPr>
        <w:t>E. 1</w:t>
      </w:r>
    </w:p>
    <w:p>
      <w:r>
        <w:t>La voie de l'appel est ouverte contre les ordonnances de mesures provisionnelles (art. 308 al. 1 let. b CPC [Code de procédure civile du 19 décembre 2008; RS 272) dans les causes non patrimoniales ou dont la valeur litigieuse dépasse 10'000 fr. (art. 308 al. 2 CPC), les mesures protectrices de l'union conjugales devant être assimilées à de telles mesures provisionnelles (Tappy, CPC Commenté, 2011, nn. 51 ss ad art. 273 CPC, pp. 1077 ss; CACI 6 août 2011/28 c. 1b). Les mesures protectrices de l'union conjugale étant soumises à la procédure sommaire (art. 271 CPC), le délai d'appel est de dix jours (art. 314 al. 1 CPC). . Interjeté en temps utile par une personne qui y a intérêt dans un litige dont la valeur capitalisée selon l'art. 92 al. 2 CPC dépasse 10'000 francs,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p. 1249). Elle peut revoir l'appréciation des faits sur la base des preuves administrées en première instance (Jeandin, op. cit. n. 6 ad art. 310 CPC, pp. 1249-1250).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(Jeandin, op. cit., n. 8 ad art. 317 CPC, p. 1266).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En l'espèce, la contribution en cause couvre en partie l'entretien d'enfants mineurs de sorte que la maxime inquisitoire illimitée s'applique et fonde les ordres de production de pièces du juge de céans.</w:t>
      </w:r>
    </w:p>
    <w:p>
      <w:r>
        <w:rPr>
          <w:b/>
        </w:rPr>
        <w:t>E. 3</w:t>
      </w:r>
    </w:p>
    <w:p>
      <w:r>
        <w:t>L'appelante fait valoir que l'intimé a retrouvé un emploi et que l'on peut lui imputer un revenu hypothétique. D’après l’art. 176 al. 1 ch. 1 CC, le juge fixe la contribution pécuniaire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lI 314 c. 4b/aa ; TF 5A_453/2009 du 9 novembre 2009 c. 5.2), la fixation de la contribution d’entretien ne devant pas anticiper sur la liquidation du régime matrimonial. Dans les cas — les plus nombreux — où les parties ne sont pas dans une situation matérielle favorable (sur cette notion: TF 5A_288/2008 du 27 août 2908 c. 5.4), le juge peut fixer la contribution d’entretien en appliquant la méthode du minimum vital avec répartition de l’excédent, qui consiste à évaluer les ressources respectives des conjoints, puis à calculer leurs charges en se fondant sur le minimum vital du droit des poursuites (art. 93 LP [loi du 11 avril 1889 sur la poursuite pour dettes et la faillite; RS 281.1]), élargi des dépenses incompressibles, enfin à répartir le solde disponible, après couverture de leurs charges respectives, de manière égale entre eux (TF 5P.504/2006 du 22 février 2007 c. 2.2.1 TF 5C.180/2002 du 20 décembre 2002 c. 5.2.2, in La Pratique du droit de la famille [FamPra.ch] 2003 p. 428 ss, 430 et les citations).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à 1’350 francs pour un débiteur monoparental et à 600 fr. pour chaque enfant de plus de dix ans —, les frais de logement, les coûts de santé (avant tout les primes d’assurance-maladie obligatoire), les frais de déplacement et de repas hors du domicile s’ils sont indispensables à l’exercice de la profession, les impôts et les dettes contractées d’entente pour l’entretien du ménage (Chaix, Commentaire romand, 2010, n. 9 ad art. 176 CC, p. et les références citées). La charge fiscale courante n’a pas à être prise en compte pour fixer le minimum vital du débirentier lorsque les moyens de celui-ci sont insuffisants (TF 5A_511/2010 du</w:t>
      </w:r>
    </w:p>
    <w:p>
      <w:r>
        <w:rPr>
          <w:b/>
        </w:rPr>
        <w:t>E. 4</w:t>
      </w:r>
    </w:p>
    <w:p>
      <w:r>
        <w:t>L'intimé ayant été au bénéfice de l'assistance judiciaire en première instance, il convient de lui octroyer également celle-ci en deuxième instance, avec effet au lendemain du dépôt de l'appel, une franchise de 50 fr. étant prévue et l'avocat Fabien Mingard désigné conseil d'office.</w:t>
      </w:r>
    </w:p>
    <w:p>
      <w:r>
        <w:rPr>
          <w:b/>
        </w:rPr>
        <w:t>E. 5</w:t>
      </w:r>
    </w:p>
    <w:p>
      <w:r>
        <w:t>En conclusion, l'appel doit être admis et le prononcé réformé en ce sens que la contribution d'entretien due par l'intimé pour l'entretien de sa famille est fixée à 600 fr. par mois dès le 1 er décembre 2011. Les frais judiciaires de deuxième instance, arrêtés à 600 fr. (art. 65 al. 2 TFJC [tarif du 28 septembre 2010 des frais judiciaires en matière civile; RSV 270.11.5), incombant à l'intimé vu l'issue de l'appel (art. 106 al. 1 CPC), sont laissés à la charge de l'Etat en raison de l'assistance judiciaire (art. 122 al. 1 let. b CPC). Obtenant gain de cause, l'appelante a droit à des dépens de deuxième instance, fixés à 2'000 fr. (art. 106 al. 1 et 122 al. 1 let. d CPC; art. 7 TDC [tarif du 23 novembre 2010 des dépens en matière civile; RSV 270.11.6]).</w:t>
      </w:r>
    </w:p>
    <w:p>
      <w:r>
        <w:rPr>
          <w:b/>
        </w:rPr>
        <w:t>E. 6</w:t>
      </w:r>
    </w:p>
    <w:p>
      <w:r>
        <w:t>a) Le conseil d'office de l'appelante a produit une liste de ses opérations, dont il ressort qu'il a consacré 8 heures 30 au dossier et supporté 25 francs 60 de débours, durée et montant qui apparaissent adéquats. Au tarif horaire de 180 francs (art. 2 al. 1 let. b RAJ [règlement du 7 décembre 2010 sur l'assistance judiciaire en matière civile; RSV 211.02.3) l'indemnité d'honoraire s'élève à 1'530 fr., montant auquel il convient d'ajouter les débours, par 25 fr. 60 et la TVA à 8 % sur le tout, par 124 fr. 40, soit une indemnité totale de 1'680 francs. b) Le conseil d'office de l'intimé a produit une liste de ses opérations, dont il ressort qu'il a consacré 6 heures 5 au dossier et supporté 21 fr. 60 de débours, TVA comprise, durée et montant qui apparaissent adéquats. Au tarif horaire de 180 fr. (ibidem), l'indemnité d'honoraires s'élève à 1'080 fr. montant auquel il convient d'ajouter la TVA à 8 % par 86 fr. 40 et les débours, par 21 fr. 60, soit une indemnité totale de 1'188 francs. Par ces motifs, le juge délégué de la Cour d’appel civile du Tribunal cantonal, statuant à huis clos, prononce : I. L'appel est admis. II. Le prononcé est réformé au chiffre II de son dispositif comme suit : B.R.________ est astreint à contribuer à l'entretien des siens par le versement d'une pension mensuelle de 600 fr. (six cents francs), allocations familiales non comprises, payable d'avance le premier de chaque mois en mains de A.R.________, dès le 1 er décembre 2011. Le prononcé est confirmé pour le surplus. III. Les frais judiciaires de deuxième instance, arrêtés à 600 fr. (six cents francs) pour l'intimé, sont laissés à la charge de l'Etat. IV. L'assistance judiciaire est accordée à B.R.________ avec effet au 7 février 2012 dans la procédure d'appel qui l'oppose à A.R.________, Me Fabien Mingard étant désigné conseil d'office. V. B.R.________ est astreint à payer une franchise mensuelle de 50 fr. (cinquante francs) dès et y compris le 1 er mai 2012, à verser auprès du Service juridique et législatif à Lausanne. VI. L'indemnité de Me Laurent Gilliard, conseil de l'appelante, est arrêtée à 1'680 fr. (mille six cent huitante francs), TVA et débours compris, et celle de Me Fabien Mingard, conseil de l'intimé, à 1'188 fr. (mille cent huitante-huit francs), TVA et débours compris. VII. Les bénéficiaires de l'assistance judiciaire sont, dans la mesure de l'art. 123 CPC, tenus au remboursement des frais judiciaires et de l'indemnité du conseil d'office mis à la charge de l'Etat. VIII. L'intimé B.R.________ doit verser à l'appelante A.R.________ la somme de 2'000 fr. (deux mille francs) à titre de dépens de deuxième instance. IX. L'arrêt motivé est exécutoire. Le juge délégué : Le greffier : Du 27 avril 2012 Le dispositif de l'arrêt qui précède est communiqué par écrit aux intéressés. Le greffier : Du L'arrêt qui précède, dont la rédaction a été approuvée à huis clos, est notifié en expédition complète, par l'envoi de photocopies à : ‑ Me Laurent Gilliard (pour A.R.________), ‑ Me Fabien Mingard (pour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