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320 vom 10. April 2012</w:t>
      </w:r>
    </w:p>
    <w:p>
      <w:r>
        <w:t>VD Tribunal cantonal, 2012-04-10, FR</w:t>
      </w:r>
    </w:p>
    <w:p>
      <w:r>
        <w:rPr>
          <w:b/>
        </w:rPr>
        <w:t xml:space="preserve">Quelle: </w:t>
      </w:r>
      <w:r>
        <w:t>https://mcp.opencaselaw.ch/entscheid/vd_findinfo_HC___2012___320</w:t>
      </w:r>
    </w:p>
    <w:p>
      <w:r>
        <w:t>FR: VD_FINDINFO HC / 2012 / 320 du 10 avril 2012</w:t>
      </w:r>
    </w:p>
    <w:p>
      <w:r>
        <w:t>IT: VD_FINDINFO HC / 2012 / 320 del 10 aprile 2012</w:t>
      </w:r>
    </w:p>
    <w:p>
      <w:pPr>
        <w:pStyle w:val="Heading2"/>
      </w:pPr>
      <w:r>
        <w:t>Regeste</w:t>
      </w:r>
    </w:p>
    <w:p>
      <w:r>
        <w:t>DÉBAT DU TRIBUNAL, PROTECTION DE L'UNION CONJUGALE, SURVEILLANCE{EN GÉNÉRAL}, VISITE, RELATIONS PERSONNELLES, ENFANT | 273 al. 1 CC, 274 al. 2 CC, 316 al. 1 CPC (CH)</w:t>
      </w:r>
    </w:p>
    <w:p>
      <w:pPr>
        <w:pStyle w:val="Heading2"/>
      </w:pPr>
      <w:r>
        <w:t>Erwägungen</w:t>
      </w:r>
    </w:p>
    <w:p>
      <w:r>
        <w:rPr>
          <w:b/>
        </w:rPr>
        <w:t>E. 1</w:t>
      </w:r>
    </w:p>
    <w:p>
      <w:r>
        <w:t>La voie de l'appel est ouverte contre les ordonnances de mesures provisionnelles rendues dans les causes non patrimoniales (art. 308 al. 1 let. b CPC [Code de procédure civile suisse du 19 décembre 2008; RS 272]; Jeandin, CPC Commenté, 2011, n. 19 ad art. 308 CPC, p. 1244), les mesures protectrices de l'union conjugales devant être assimilées à de telles mesures provisionnelles (Tappy, CPC Commenté, 2011, nn. 51 ss ad art. 273 CPC, pp. 1077 ss; CACI 6 août 2011/28 c. 1b). Les mesures protectrices de l'union conjugale étant soumises à la procédure sommaire (art. 271 CPC), le délai d'appel est de dix jours (art. 314 al. 1 CPC). Formé en temps utile par une partie qui y a un intérêt, l'appel est formellement recevable.</w:t>
      </w:r>
    </w:p>
    <w:p>
      <w:r>
        <w:rPr>
          <w:b/>
        </w:rPr>
        <w:t>E. 2</w:t>
      </w:r>
    </w:p>
    <w:p>
      <w:r>
        <w:t>a) L'appel portant sur des mesures provisionnelles,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 L'appelante requiert la tenue d'une audience, l'interpellation du Point Rencontre sur le retour de l'intimé et la production d'un rapport médical complet et actualisé au sujet de l'état de santé de l'intimé, ainsi qu'un rapport d'évaluation actualisé portant sur l'opportunité de reprendre l'exercice du droit de visite et ses éventuelles modalités d'application. En ce qui concerne la tenue d'une audience, le juge de céans considère qu'il est à même de statuer sur la base du dossier de sorte qu'il n'y a pas lieu d'ordonner des débats (art. 316 al. 1 CPC; Jeandin, op. cit., n. 3 ad art. 316 CPC, p. 1263; CACI 10 février 2012/66 c. 2b). Pour ce qui est de l'interpellation du Point Rencontre, il y a lieu de relever que le premier juge a tenu compte du projet de l'appelante de s'installer dans le canton de Neuchâtel, ce qui imposerait d'y trouver un Point Rencontre autre que l'Espace Rencontre lausannois utilisé jusque-là. En outre, l'Espace Rencontre n'a pas fait part de l'impossibilité de poursuivre sa mission ni d'évènement compromettant gravement celle-ci. Il apparaît donc que, dans l'hypothèse où l'appelante demeurerait dans le canton de Vaud, le droit de visite pourrait être poursuivi par l'intermédiaire de l'Espace Rencontre. Une interpellation de cette institution n'apparaît dès lors pas nécessaire. S'agissant du rapport médical sur l'état de santé de l'intimé, il y a lieu de relever que les principales difficultés rencontrées dans l'exercice du droit de visite en cause ont été causées par les problèmes d'alcool de l'intimé. En outre, les problèmes psychologiques qui ont amené à sa mise sous tutelle sont suffisamment connus. Enfin, le droit de visite en cause est soumis à un contrôle de l'état de l'intimé par les intervenants. Au vu de ces éléments, il n'apparaît pas nécessaire d'ordonner la production d'un rapport médical sur l'état de santé de l'intimé pour trancher la question du droit de visite litigieux. Quant au rapport actualisé sur l'opportunité de reprendre le droit de visite, il n'apparaît pas nécessaire, dès lors que le SPJ a été entendu à l'audience. Les mesures d'instruction requises par l'appelante doivent donc être rejetées.</w:t>
      </w:r>
    </w:p>
    <w:p>
      <w:r>
        <w:rPr>
          <w:b/>
        </w:rPr>
        <w:t>E. 3</w:t>
      </w:r>
    </w:p>
    <w:p>
      <w:r>
        <w:t>a) L'appelante soutient que l'intérêt de l'enfant commande de suspendre le droit de visite, l'intimé n'ayant pu se soumettre au cadre imposé pour exercer celui-ci et le Point Rencontre n'étant pas à même de gérer la situation. b/aa)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 2.1). Pour prendre une telle décision, le juge des mesures protectrices dispose d’un large pouvoir d’appréciation au sens de l’art. 4 CC et fait application du principe de proportionnalité (Chaix, op. cit., n. 1 et 20 ad art. 176 CC,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bb)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La Pratique du droit de la famille [FamPra.ch] 2011 p. 491; ATF 131 III 209 c. 5; 123 III 445 c.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cc)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Conformément au principe de proportionnalité, il importe en outre que cette menace ne puisse être écartée par d'autres mesures appropriées (TF 5A_448/2008 du 2 octobre 2008; TF 5P.131/2006 du 25 août 2006, publié in FamPra.ch 2007 p. 167; ATF 131 III 209, JT 2005 I 2002;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On peut admettre qu'un parent ne s'est pas soucié sérieusement de son enfant au sens de l'art. 274 al. 2 CC lorsqu'il ne prend aucune part à son bien-être, s'en remet en permanence à d'autres pour les soins dus à l'enfant et n'entreprend rien pour établir une relation vivante avec lui; peu importe de savoir si les efforts auraient été couronnés de succès et si le comportement du parent habilité à donner son consentement est coupable ou non (ATF 118 II 21 c. 3d).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FamPra.ch 2008 p. 173). c) En l'espèce, l'intimé rencontre des problèmes récurrents de consommation excessive d'alcool et souffre de problèmes psychologiques importants. Il a été placé sous tutelle le 9 février 2012 et n'a pas de domicile fixe. Il peut aussi avoir des crises d'épilepsie. Il est indéniable que son comportement envers sa fille n'a pas été adéquat et qu'il ne l'a pas vue depuis plusieurs mois. Il existe dans ces circonstances des indices concrets de mise en danger du bien de l'enfant qui imposent à tout le moins une limitation du droit de visite en ce sens qu'il doit s'exercer à l'intérieur d'une structure fermée et qu'il doit être surveillé. Le premier juge a en outre assorti ce droit de visite de cautèles supplémentaires en prévoyant, en substance, que si l'intimé présentait le moindre signe d'un comportement inadéquat, les intervenants chargés de la surveillance du droit de visite pourraient le refuser ou l'interrompre aussitôt. Ces mesures apparaissent adéquates pour garantir la protection de l'enfant au regard de la situation de l'intimé, de sorte qu'une suspension du droit de visite apparaîtrait disproportionnée. A cet égard, l'appelante soutient en vain que le premier juge n'a pas examiné l'intérêt de l'enfant. En effet, le premier juge s'est fondé sur l'avis du SPJ à l'audience, selon lequel il est important que des relations personnelles subsistent entre l'intimé et sa fille, malgré le comportement antérieur de celui-ci. De même la solution adoptée par le premier juge permet une reprise des relations avec les précautions nécessaires. L'ensemble des circonstances permettant l'exercice d'un droit de visite strictement contrôlé a été examinée en première instance. L'appel doit en conséquence être rejeté.</w:t>
      </w:r>
    </w:p>
    <w:p>
      <w:r>
        <w:rPr>
          <w:b/>
        </w:rPr>
        <w:t>E. 4</w:t>
      </w:r>
    </w:p>
    <w:p>
      <w:r>
        <w:t>En conclusion, l'appel doit être rejeté en application de l'art. 312 al. 1 CPC et le prononcé confirmé. Les frais judiciaires de deuxième instance, fixé à 600 fr. (art. 65 al. 2 TFJC [tarif du 28 septembre 2010 des frais judiciaires civils; RSV 270.11.5]) sont, vu l'assistance judiciaires, laissé à la charge de l'Etat (art. 122 al. 1 let. b CPC). Il n'y a pas lieu d'allouer de dépens de deuxième instance, l'intimé n'ayant pas été invité à se déterminer.</w:t>
      </w:r>
    </w:p>
    <w:p>
      <w:r>
        <w:rPr>
          <w:b/>
        </w:rPr>
        <w:t>E. 5</w:t>
      </w:r>
    </w:p>
    <w:p>
      <w:r>
        <w:t>Le conseil d'office de l'appelante a déposé une liste de ses opérations dont il ressort qu'il a consacré 3 heures 45 à la procédure d'appel. Ce temps apparaît nécessaire à l'accomplissement du mandat, de sorte qu'au tarif horaire de 180 fr. (art. 2 al. 1 let. a RAJ [règlement du 7 décembre 2010 sur l'assistance judiciaire en matière civile; RSV 211.02.3), l'indemnité d'honoraire s'élève à 675 fr., montant auquel il convient d'ajouter l'indemnité de débours, par 45 fr. et la TVA à 8 % sur le tout, par 57 fr. 60, soit une indemnité totale de 777 fr. 60.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laissés à la charge de l'Etat. IV. L'indemnité d'office de Me Pierre-Yves Brandt, conseil de l'appelante, est arrêtée à 777 fr. 60 (sept cent septante-sept francs et soixante centimes), débours et TVA compris. V. Le bénéficiaire de l'assistance judiciaire est, dans la mesure de l'art. 123 CPC, tenu au remboursement des frais judiciaires et de l'indemnité du conseil d'office mis à la charge de l'Etat. VI. L'arrêt motivé est exécutoire. Le juge délégué : Le greffier : Du 11 avril 2012 Le dispositif de l'arrêt qui précède est communiqué par écrit aux intéressés. Le greffier : Du L'arrêt qui précède, dont la rédaction a été approuvée à huis clos, est notifié en expédition complète, par l'envoi de photocopies, à : ‑ Me Pierre-Yves Brandt (pour A.X.________), ‑ Me Franck-Olivier Karlen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