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316 vom 20. Juni 2012</w:t>
      </w:r>
    </w:p>
    <w:p>
      <w:r>
        <w:t>VD Tribunal cantonal, 2012-06-20, FR</w:t>
      </w:r>
    </w:p>
    <w:p>
      <w:r>
        <w:rPr>
          <w:b/>
        </w:rPr>
        <w:t xml:space="preserve">Quelle: </w:t>
      </w:r>
      <w:r>
        <w:t>https://mcp.opencaselaw.ch/entscheid/vd_findinfo_HC___2012___316</w:t>
      </w:r>
    </w:p>
    <w:p>
      <w:r>
        <w:t>FR: VD_FINDINFO HC / 2012 / 316 du 20 juin 2012</w:t>
      </w:r>
    </w:p>
    <w:p>
      <w:r>
        <w:t>IT: VD_FINDINFO HC / 2012 / 316 del 20 giugno 2012</w:t>
      </w:r>
    </w:p>
    <w:p>
      <w:pPr>
        <w:pStyle w:val="Heading2"/>
      </w:pPr>
      <w:r>
        <w:t>Regeste</w:t>
      </w:r>
    </w:p>
    <w:p>
      <w:r>
        <w:t>BIEN PROPRE, ACQUISITION DE LA PROPRIÉTÉ, LIQUIDATION DU RÉGIME MATRIMONIAL, OBLIGATION D'ENTRETIEN, DIVORCE, TRIBUNAL FÉDÉRAL, DÉCISION DE RENVOI | 107 al. 2 LTF</w:t>
      </w:r>
    </w:p>
    <w:p>
      <w:pPr>
        <w:pStyle w:val="Heading2"/>
      </w:pPr>
      <w:r>
        <w:t>Erwägungen</w:t>
      </w:r>
    </w:p>
    <w:p>
      <w:r>
        <w:rPr>
          <w:b/>
        </w:rPr>
        <w:t>E. 1</w:t>
      </w:r>
    </w:p>
    <w:p>
      <w:r>
        <w:t>Depuis l’entrée en vigueur le 1 er janvier 2011 du CPC (Code de procédure civile du 19 décembre 2008; RS 272), les recours sont régis par le droit en vigueur au moment de la communication de la décision aux parties (art. 405 al. 1 CPC), soit la date de l’expédition du dispositif (ATF 137 III 127, JT 2011 II 226; ATF 137 III 130, JT 2011 II 228). En l'espèce, le dispositif du jugement attaqué ayant été envoyé le 6 décembre 2010, la Chambre des recours (art. 81a al. 2 ROTC [règlement organique du Tribunal cantonal du 13 novembre 2007; RSV 173.31.1] et art. 166 al. 2 CDPJ [Code de droit privé judiciaire vaudois du 12 janvier 2010; RSV 211.02]) est compétente pour statuer sur le recours. L'ancien droit de procédure régit le recours (art. 404 al. 1 CPC), notamment le CPC-VD (Code de procédure civile vaudoise du 14 décembre 1966). Il reste applicable ensuite du renvoi à l'autorité cantonale par l'arrêt du Tribunal fédéral du 17 février 2012 (cf. TF 4A_641/2011 du 27 janvier 2012, c. 2.2).</w:t>
      </w:r>
    </w:p>
    <w:p>
      <w:r>
        <w:rPr>
          <w:b/>
        </w:rPr>
        <w:t>E. 2</w:t>
      </w:r>
    </w:p>
    <w:p>
      <w:r>
        <w:t>La loi du 17 juin 2005 sur le Tribunal fédéral (LTF; RS 173.110) ne connaît pas de disposition équivalente à l'art. 66 al. 1 de l'ancienne loi fédérale d'organisation judiciaire du 16 décembre 1943 (OJ), abrogée au 1 er janvier 2007, qui prévoyait que l'autorité cantonale était tenue de fonder sa nouvelle décision sur les considérants de droit de l'arrêt du Tribunal fédéral. Cette règle demeure toutefois valable sous le nouveau droit (TF 5A_336/2008 du 28 août 2008 c. 1.3; TF 4A_138/2007 du 19 juin 2007 c. 1.5). C'est dire que le tribunal auquel la cause est renvoyée voit sa cognition limitée par les motifs de l'arrêt de renvoi, en ce sens qu'il est lié par ce qui a été déjà jugé définitivement par le Tribunal fédéral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(Poudret, Commentaire de la loi fédérale d'organisation judiciaire, vol. II, Berne 1990, n. 1.3.2 ad art. 66 OJ, p. 598).</w:t>
      </w:r>
    </w:p>
    <w:p>
      <w:r>
        <w:rPr>
          <w:b/>
        </w:rPr>
        <w:t>E. 3</w:t>
      </w:r>
    </w:p>
    <w:p>
      <w:r>
        <w:t>Dans son arrêt de renvoi du 17 février 2012, le Tribunal fédéral a tout d'abord considéré que l'immeuble était attribué à l'épouse et que celle-ci devait à son conjoint la somme de 337'500 francs. La copropriété étant ainsi liquidée, il a ensuite retenu que l'entier du montant investi pour l'achat de l'immeuble (355'000 fr.) provenait des fonds propres de l'épouse et que le bien-fonds, le prêt hypothécaire et la plus-value correspondant à la partie non remboursée du prêt hypothécaire devaient être rattachés aux fonds propres de l'épouse, lesquels assureraient le versement de l'indemnité équitable due au mari suite au partage de la copropriété. La question des récompenses n'a pas été traitée par le Tribunal fédéral. Elle est normalement traitée en procédure par le biais d'un rapport préalable de notaire, au sujet duquel les parties ont la faculté de se déterminer (art. 373 CPC-VD). Dès lors que la cour de céans ne peut procéder à des mesures d'instruction que dans une mesure restreinte et qu'on ne conçoit pas qu'elle soumette aux parties un projet de liquidation de leur régime matrimonial, il s'impose de renvoyer la cause au tribunal de première instance afin qu'il mette en œuvre à titre complémentaire le notaire précédemment commis à la liquidation dudit régime. Une fois cette opération effectuée, il incombera au tribunal d'arrondissement d'examiner si le résultat de cette liquidation est susceptible de modifier la contribution d'entretien fixée à 4'500 fr. par mois (arrêt cantonal, c. 12 in fine, p. 47) et non remise en cause par le Tribunal fédéral sous réserve dudit résultat (c. 7.2.4 et 7.2.5). Il statuera ensuite à nouveau sur les objets qu'il avait traités aux chiffres II et V du dispositif de son jugement.</w:t>
      </w:r>
    </w:p>
    <w:p>
      <w:r>
        <w:rPr>
          <w:b/>
        </w:rPr>
        <w:t>E. 4</w:t>
      </w:r>
    </w:p>
    <w:p>
      <w:r>
        <w:t>En définitive, le recours principal et le recours joint doivent être partiellement admis et le jugement attaqué réformé au chiffre VI de son dispositif en ce sens que la défenderesse est déclarée propriétaire de la parcelle n o [...] de la commune de Corseaux. Le jugement est annulé d'office aux chiffres II et V de son dispositif, la cause étant renvoyée au tribunal d'arrondissement pour compléter l'instruction et statuer à nouveau. Il est confirmé pour le surplus. Dès lors que le Tribunal fédéral n'a annulé l'arrêt de la cour de céans qu'en tant ce qu'il concerne la contribution d'entretien (ch. II/II du dispositif de l'arrêt cantonal) et qu'il confirme le jugement de première instance quant au résultat de la liquidation du régime matrimonial (ch. II du dispositif de l'arrêt cantonal, dernière phrase), les frais et dépens de deuxième instance demeurent inchangés (ch. III et IV du dispositif de l'arrêt cantonal). Par ces motifs, la Chambre des recours du Tribunal cantonal, statuant à huis clos, prononce : A la suite de l'arrêt du Tribunal fédéral du 17 février 2012, il est statué à nouveau comme il suit : I. Le recours d'A.T.________ et le recours joint d'B.T.________ sont partiellement admis. II. Le jugement est réformé comme il suit au chiffre VI de son dispositif : VI.- ordonne au Conservateur du Registre foncier de Vevey d'inscrire A.T.________ en qualité de seule et unique propriétaire du bien-fonds n o [...], [...], d'une surface de 1'785 m 2 , plan n o 10, de la commune de Corseaux (VD). Le jugement est annulé d'office aux chiffres II et V de son dispositif, la cause étant renvoyée au Tribunal d'arrondissement de l'Est vaudois pour compléter l'instruction et statuer à nouveau. Le jugement est confirmé pour le surplus. III. Les frais de deuxième instance sont fixés à 4'000 fr. (quatre mille francs) pour la recourante principale A.T.________ et 2'000 fr. (deux mille francs) pour le recourant par voie de jonction B.T.________. IV. Le recourant par voie de jonction B.T.________ doit verser à la recourante principale A.T.________ la somme de 1'500 fr. (mille cinq cent francs) à titre de dépens de deuxième instance. Le président :               La greffière : Du L'arrêt qui précède, dont la rédaction a été approuvée à huis clos, est notifié à : ‑ Me Catherine Jaccottet Tissot (pour A.T.________) ‑ Me Olivier Burnet (pour B.T.________) Il prend date de ce jour. La Chambre des recours considère que la valeur litigieuse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