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315 vom 26. April 2012</w:t>
      </w:r>
    </w:p>
    <w:p>
      <w:r>
        <w:t>VD Tribunal cantonal, 2012-04-26, FR</w:t>
      </w:r>
    </w:p>
    <w:p>
      <w:r>
        <w:rPr>
          <w:b/>
        </w:rPr>
        <w:t xml:space="preserve">Quelle: </w:t>
      </w:r>
      <w:r>
        <w:t>https://mcp.opencaselaw.ch/entscheid/vd_findinfo_HC___2012___315</w:t>
      </w:r>
    </w:p>
    <w:p>
      <w:r>
        <w:t>FR: VD_FINDINFO HC / 2012 / 315 du 26 avril 2012</w:t>
      </w:r>
    </w:p>
    <w:p>
      <w:r>
        <w:t>IT: VD_FINDINFO HC / 2012 / 315 del 26 aprile 2012</w:t>
      </w:r>
    </w:p>
    <w:p>
      <w:pPr>
        <w:pStyle w:val="Heading2"/>
      </w:pPr>
      <w:r>
        <w:t>Regeste</w:t>
      </w:r>
    </w:p>
    <w:p>
      <w:r>
        <w:t>GARANTIE EN RAISON DES DÉFAUTS DE LA CHOSE, DÉFAUT CACHÉ | 199 CO</w:t>
      </w:r>
    </w:p>
    <w:p>
      <w:pPr>
        <w:pStyle w:val="Heading2"/>
      </w:pPr>
      <w:r>
        <w:t>Erwägungen</w:t>
      </w:r>
    </w:p>
    <w:p>
      <w:r>
        <w:rPr>
          <w:b/>
        </w:rPr>
        <w:t>E. 1</w:t>
      </w:r>
    </w:p>
    <w:p>
      <w:r>
        <w:t>a) La décision attaquée a été communiquée le 28 septembre 2011, de sorte que les voies de droit sont régies par le Code de procédure civile du 19 décembre 2008 (ci-après: CPC ; RS 272), entré en vigueur le 1 er janvier 2011 (art. 405 al. 1 CPC). b) L'appel est recevable contre les décisions finales de première instance (art. 308 al. 1 let. a CPC, au sens de l'art. 236 CPC, dans les causes patrimoniales dont la valeur litigieuse dépasse 10'000 francs (art. 308 al. 2 CPC). L'appel, écrit et motivé, est introduit auprès de l'instance d'appel, soit la Cour d'appel civile (art. 84 al. 1 LOJV [loi vaudoise d'organisation judiciaire du 12 décembre 1979 ; RSV 173.01], dans les trente jours à compter de la notification de la décision motivée ou de la notification postérieure de la motivation (art. 311 al. 1 CPC). Formé en temps utile (art. 311 al. 1 CPC) – compte tenu de la suspension des délais pendant les féries de fin d'année (art. 145 al. 1 let. c CPC) –, par une partie qui y a intérêt (art. 59 al. 2 let. a CPC), contre une décision finale de première instance rendue dans une cause patrimoniale dans laquelle les conclusions principales, dans leur dernier état devant le tribunal de première instance, portaient sur un montant supérieur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 constatation des faits sur la base des preuves administrées en première instance (Tappy, op. cit., JT 2010 III 115,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JT 2010 III 115, p. 138). Il appartient à l'appelant de démontrer que ces conditions sont réalisées, de sorte que l'appel doit indiquer spécialement de tels faits et preuves nouveaux et motiver spécialement les raisons qui les rendent admissibles selon lui (ibidem, pp. 136-147). En l'espèce, l'appelante requiert une inspection locale, afin que la cour puisse se prononcer sur le point de savoir si le défaut était décelable au premier coup d'œil. Cette requête doit être rejetée. En effet, outre le fait qu'il a déjà été procédé à une inspection locale, la question de savoir si le défaut était décelable au premier coup d'œil est sans pertinence pour la résolution du présent litige, comme on le verra ci-après.</w:t>
      </w:r>
    </w:p>
    <w:p>
      <w:r>
        <w:rPr>
          <w:b/>
        </w:rPr>
        <w:t>E. 3</w:t>
      </w:r>
    </w:p>
    <w:p>
      <w:r>
        <w:t>a) L'appelante fait valoir que les intimés étaient nécessairement conscients qu'il était impossible d'accéder à leur garage avec un véhicule de taille standard. Dès lors que le garage constitue une partie essentielle d'une maison d'habitation, les intimés auraient dû informer l'appelante de ce problème. En omettant de le faire et en entreposant des objets dans le garage de manière à empêcher l'appelante d'y pénétrer avec sa voiture lors des visites de la maison, les vendeurs se seraient rendus coupable de dol, de sorte que leur responsabilité envers l'appelante serait engagée. b) Les parties ont conclu un contrat de vente immobilière (art. 216 ss CO), auquel s'appliquent par analogie les règles concernant la vente mobilière (art. 221 CO) et notamment les règles sur la garantie en raison des défauts (ATF 131 III 145 c. 3). Dès lors que les parties ont inséré dans le contrat de vente immobilière du 28 mai 2009 une clause d'exclusion de garantie, l'acheteuse ne peut invoquer la garantie en raison des défauts de l'immeuble que dans la mesure de l'art. 199 CO, aux termes duquel toute clause qui supprime ou restreint la garantie est nulle si le vendeur a frauduleusement dissimulé à l'acheteur les défauts de la chose. Selon la jurisprudence du Tribunal fédéral (TF 4A_70/2011 du 12 avril 2011 c. 4.1), la dissimulation frauduleuse peut notamment consister à taire un fait tel que l'absence d'une qualité prévue de la chose vendue, dont la connaissance aurait conduit l'acheteur à ne pas conclure le contrat, ou à le conclure à des conditions différentes de celles convenues (cf. ATF 132 II 161 c. 4.1 ; TF 4C.16/2005 du 13 juillet 2005 c. 1.5). Encore faut-il qu'existe un devoir d'informer, lequel peut découler de la loi, d'un contrat ou du principe de la bonne foi ; les pourparlers contractuels fondent un rapport de confiance en vertu duquel les parties doivent se signaler dans une certaine mesure les éléments propres à influer sur la décision du partenaire contractuel (ATF 106 II 346 c. 4a). Savoir s'il existe un devoir d'informer dépend des circonstances du cas concret (ATF 132 II 161 c. 4.1) ; un tel devoir est en principe reconnu lorsque le vendeur doit admettre que le défaut connu de lui pourrait empêcher ou entraver considérablement l'usage prévu par l'acheteur (TF 4A_226/2009 du 20 août 2009 c. 3.2.3). L'obligation d'informer présuppose la connaissance effective du défaut par le vendeur, l'ignorance due à une négligence même grave ne suffisant pas (ATF 81 II 138 c. 3 ; TF 4A_226/2009 du 20 août 2009 c. 3.2.3 ; Pedrazzini, La dissimulation des défauts dans les contrats de vente et d'entreprise, 1992, n° 528). Le vendeur est toutefois dispensé d'informer l'acheteur lorsqu'il peut admettre de bonne foi que l'acheteur réalisera sans autre la situation exacte (ATF 116 II 431 c. 3a); à cet égard, il suffit en principe que l'acheteur puisse s'en rendre compte en faisant preuve de l'attention commandée par les circonstances (TF 4C.16/2005 du 13 juillet 2005 c. 1.5 ; ATF 102 II 81 c. 2 ; TF 4A_70/2011 du 12 avril 2011, c. 4.1). La dissimulation doit être intentionnelle, le dol éventuel étant suffisant ; le vendeur doit omettre consciemment de communiquer un défaut à l'acheteur tout en sachant qu'il s'agit d'un élément important pour ce dernier (ATF 131 III 145 c. 8.1 ; TF 4A_301/2010 du 7 septembre 2010 c. 3.2, in SJ 2011 I p. 17 ; TF 4A_70/2011 du 12 avril 2011 c. 4.1 ; Pedrazzini, op. cit., n os 520 ss). La question de savoir s'il y a eu ou non intention de dissimuler le défaut ressortit à l'établissement des faits (TF 4A_301/2010 du 7 septembre 2010 c. 3.2, in SJ 2011 I p. 17). Le fardeau de la preuve de la dissimulation frauduleuse – dissimulation qui doit jouer un rôle déterminant dans la conclusion du contrat, le rapport de causalité étant rompu si l'acheteur aurait de toute façon conclu aux mêmes conditions sans la tromperie (cf. ATF 129 III 320 c. 6.3) – incombe à l'acheteur (ATF 131 III 145 c. 8.1 ; TF 4A_301/2010 du 7 septembre 2010 c. 3.2, in SJ 2011 I p. 17 ; TF 4A_70/2011 du 12 avril 2011 c. 4.1). c) En l'espèce, il ressort du rapport de l'ingénieur civil C.________ du 24 décembre 2009, confirmé par l'expertise judiciaire, qu'en raison de la pente transversale d'accès au garage litigieux, qui est de 20 %, et de la cassure nette entre la rampe et le niveau du garage, une voiture de la classe moyenne avec porte-à-faux avant et arrière de longueur standard, se présentant de face, bute aux extrémités avant ou arrière – étant précisé que ce constat est illustré dans le rapport du 24 décembre 2009 par les photos d'une Alfa Romeo 159, véhicule dont le porte-à-faux avant est plutôt important et la garde au sol plutôt basse –, de sorte que l'accès au garage du lot n° 2 est impossible pour un tel véhicule ; l'expert a précisé qu'un véhicule tout-terrain de type 4x4 au bénéfice d'une garde au sol fortement supérieure à celle de véhicules classiques n'entre pas non plus, car il touche avec le toit sur la partie supérieure du cadre de la porte. Les premiers juges ont également constaté lors de l'inspection locale qu'il était très difficile, voire impossible, pour un véhicule de type Audi A4 Break d'entrer dans le garage sans dommages. Cela étant, le témoin F.________, propriétaire de la maison mitoyenne, a confirmé que la Mercedes Classe A et les Honda Civic de la défenderesse pouvaient entrer dans le garage et s'y garer. Le témoin E.________, qui a conçu la maison il y a plus de trente ans, a déclaré que les défendeurs s'étaient accommodés de leur garage pendant trente ans avec des voitures normales et a également confirmé avoir vu un petit véhicule parqué dans le garage. Le témoin J.________, qui a œuvré comme courtière en immobilier lors de l'achat de la maison par la demanderesse, a indiqué que la défenderesse lui avait confirmé que plusieurs voitures pouvaient aller dans le garage, qu'elle et son mari avaient souvent changé de véhicule et qu'ils n'avaient jamais eu de problèmes. Le témoin K.________ a également confirmé que la Mercedes des défendeurs était garée dans le garage. Dans ces circonstances, il n'est nullement établi que les défendeurs aient été au courant du fait que l'accès au garage est impossible avec certains véhicules de la classe moyenne, dès lors qu'il leur a toujours été possible de s'y garer avec leurs propres véhicules dont les porte-à-faux n'étaient pas suffisamment longs (s'agissant de véhicules de type Mercedes classe A ou Honda Civic) pour buter contre le sol aux extrémités en entrant ou sortant du garage. La demanderesse n'a ainsi nullement apporté la preuve que les vendeurs lui auraient frauduleusement dissimulé un défaut – consistant dans le fait que l'accès au garage n'est pas possible pour certains véhicules de la classe moyenne – en omettant consciemment de lui en faire part tout en sachant qu'il s'agissait d'un élément important pour elle en ce sens que la connaissance de ce défaut l'aurait conduite à ne pas conclure le contrat, ou à le conclure à des conditions différentes de celles convenues. A cet égard, il ressort de l'audition de la courtière J.________ que si les défendeurs avaient attiré son attention sur le fait qu'il fallait une voiture particulière pour pouvoir se garer dans le garage, cela n'aurait de toute façon pas changé le prix de la maison. Cette constatation est d'ailleurs corroborée par le fait que le lendemain de la visite menée par la courtière J.________, la demanderesse et son mari ont adressé à cette dernière un courriel indiquant qu'ils avaient eu le coup de cœur pour la maison et qu'ils n'avaient pas envie de négocier le prix, qu'ils estimaient tout à fait correct. Dès lors que la demanderesse n'a pas apporté la preuve que les défendeurs lui auraient frauduleusement dissimulé un défaut de la chose vendue en omettant sciemment de lui en faire part tout en sachant qu'il s'agissait d'un élément important pour elle, ni que la connaissance de ce défaut l'aurait conduite à ne pas conclure le contrat ou à le conclure à des conditions différentes de celles convenues, son action ne peut qu'être rejetée.</w:t>
      </w:r>
    </w:p>
    <w:p>
      <w:r>
        <w:rPr>
          <w:b/>
        </w:rPr>
        <w:t>E. 4</w:t>
      </w:r>
    </w:p>
    <w:p>
      <w:r>
        <w:t>a) L'appelante reproche aux premiers juges d'avoir alloué aux intimés des dépens s'élevant à 17'950 fr., comprenant, outre un montant non contesté de 4'750 fr. en remboursement de leurs frais de justice, un montant de 12'000 fr. à titre de participation aux honoraires de leur conseil et un montant de 1'200 fr. pour les débours de celui-ci. L'appelante fait valoir que même si l'on admet un tarif horaire de 360 fr., l'indemnité allouée correspond à trente-quatre heures de travail, alors que le traitement de ce dossier n'aurait à l'évidence pas nécessité une telle durée. En outre, une fixation des dépens conformément au tarif du 17 juin 1986 des honoraires d'avocat dus à titre de dépens aurait dû conduire, en application de l'art. 2 dudit tarif et en prenant des montants moyens, à allouer aux intimés une participation aux honoraires d'avocat de moins de 5'000 francs. En allouant à ce titre une somme de 12'000 fr., soit presque trois fois plus que ce qui est prévu par le tarif, les premiers juges auraient appliqué celui-ci de façon arbitraire. L'appelante sollicite ainsi à titre subsidiaire que les dépens alloués dans le cadre du jugement entrepris soient limités à 4'825 fr., plus 483 fr. à titre de débours. b) Au regard des opérations effectuées dans la présente cause et des montants prévus à l'art. 2 TAv (tarif du 17 juin 1986 des honoraires d'avocat dus à titre de dépens) – dépôt  d'une réponse de onze pages rédigée par une avocate stagiaire, procédés en vue de l'audience préliminaire, audience préliminaire d'une durée de vingt minutes, audience de mise en oeuvre d'expert, observations sur expertise, audience d'audition anticipée d'un témoin d'une durée de trente minutes, audience de jugement d'une durée de  trois heures et vingt-cinq minutes à laquelle les intimés étaient assistés d'une avocate stagiaire –, un montant de 8'000 fr. apparaît très largement suffisant, compte tenu des difficultés de la cause et de la valeur litigieuse, à titre de participation aux honoraires d'avocat des intimés, auquel on ajoutera un montant de 400 fr. à titre de débours.</w:t>
      </w:r>
    </w:p>
    <w:p>
      <w:r>
        <w:rPr>
          <w:b/>
        </w:rPr>
        <w:t>E. 5</w:t>
      </w:r>
    </w:p>
    <w:p>
      <w:r>
        <w:t>a) Il résulte de ce qui précède que l'appel doit être très partiellement admis et le jugement réformé au chiffre III de son dispositif en ce sens qu'il est dit que D.S.________ est la débitrice de Q.G.________ et B.G.________ de la somme de 13'150 fr. à titre de dépens, soit 4'750 fr. en remboursement de leurs frais de justice, 8'000 fr. à titre de participation aux honoraires de leur conseil, et 400 fr. pour les débours de celui-ci. b) Vu l'issue de l'appel, les frais judiciaires de la procédure de deuxième instance, qui doivent être arrêtés à 1'960 fr. (art. 62 al. 1 et 2 TFJC [tarif des frais judiciaires civils du 28 septembre 2010 ; RSV 270.11.5) et sont compensés avec l'avance fournie par l'appelante (art. 111 al. 1 CPC), seront mis pour quatre cinquièmes à la charge de l'appelante et pour un cinquième à la charge des intimés (art. 106 al. 2 CPC). Ces derniers, à parts égales et solidairement entre eux (art. 106 al. 3 CPC), verseront ainsi à l'appelante un montant de 392 fr. à titre de restitution partielle d'avance de frais de deuxième instance (art. 111 al. 2 CPC). L'appelante versera aux intimés, créanciers solidaires, un montant de 2'000 fr. à titre de dépens réduits de deuxième instance (cf. art. 95 al. 3 et 106 al. 1 et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