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305 vom 21. Mai 2012</w:t>
      </w:r>
    </w:p>
    <w:p>
      <w:r>
        <w:t>VD Tribunal cantonal, 2012-05-21, FR</w:t>
      </w:r>
    </w:p>
    <w:p>
      <w:r>
        <w:rPr>
          <w:b/>
        </w:rPr>
        <w:t xml:space="preserve">Quelle: </w:t>
      </w:r>
      <w:r>
        <w:t>https://mcp.opencaselaw.ch/entscheid/vd_findinfo_HC___2012___305</w:t>
      </w:r>
    </w:p>
    <w:p>
      <w:r>
        <w:t>FR: VD_FINDINFO HC / 2012 / 305 du 21 mai 2012</w:t>
      </w:r>
    </w:p>
    <w:p>
      <w:r>
        <w:t>IT: VD_FINDINFO HC / 2012 / 305 del 21 maggio 2012</w:t>
      </w:r>
    </w:p>
    <w:p>
      <w:pPr>
        <w:pStyle w:val="Heading2"/>
      </w:pPr>
      <w:r>
        <w:t>Regeste</w:t>
      </w:r>
    </w:p>
    <w:p>
      <w:r>
        <w:t>SERVITUDE FONCIÈRE, INTERPRÉTATION{SENS GÉNÉRAL}, DÉPENS | 738 CC, 92 CPC</w:t>
      </w:r>
    </w:p>
    <w:p>
      <w:pPr>
        <w:pStyle w:val="Heading2"/>
      </w:pPr>
      <w:r>
        <w:t>Erwägungen</w:t>
      </w:r>
    </w:p>
    <w:p>
      <w:r>
        <w:rPr>
          <w:b/>
        </w:rPr>
        <w:t>E. 1</w:t>
      </w:r>
    </w:p>
    <w:p>
      <w:r>
        <w:t>a) Le dispositif du jugement attaqué a été communiqué aux parties le 24 février 2011, de sorte que les voies de droit sont régies par le CPC (Code de procédure civile suisse du 19 décembre 2008, RS 272), entré en vigueur le 1 er janvier 2011 (art. 405 al. 1 CPC ; ATF 137 III 127 ; ATF 137 III 130 ; Tappy, in CPC commenté, Bâle 2011, nn. 5 ss ad art. 405 CPC). Cela étant, la demande ayant été déposée le 21 décembre 2009, c’est l’application de l’ancien droit de procédure cantonal qui doit être examinée, notamment les dispositions du CPC-VD (Code de procédure civile vaudoise du 14 décembre 1966) relatives aux dépens (art. 404 CPC). b) En l’espèce, la cause est de nature patrimoniale, dès lors que la prétention en cause poursuit principalement un but économique (Tappy, op. cit., n. 5 ad art. 91 CPC). Pour déterminer quelle voie de droit, de l'appel ou du recours, est ouverte contre une décision finale de première instance rendue dans une cause patrimoniale, il y a lieu de se fonder sur la valeur litigieuse, calculée selon le droit fédéral, l’appel étant ouvert pour autant que cette valeur soit supérieure à 10'000 fr. (art. 308 al. 2 CPC). Lorsque l’action ne porte pas sur une somme d’argent déterminée, la valeur litigieuse doit être estimée (Tappy, op. cit., n. 42 ad art. 91 CPC) ; il appartient toutefois prioritairement au demandeur de déterminer la valeur litigieuse et de l’indiquer au juge (art. 91 al. 2 CPC ; Tappy, op. cit., nn. 49 ss ad art. 91 CPC). S’agissant d’un litige de voisinage découlant de l’existence d’une palissade en limite de propriété qui empêcherait le passage de la lumière et contreviendrait ainsi à une servitude annotée au registre foncier, la valeur litigieuse correspond à l’augmentation de valeur que la suppression ou l’adaptation de cette palissade procurerait au bien-fonds du demandeur ou, si elle est plus élevée, à la diminution de valeur qu’une telle suppression ou adaptation causerait au bien-fonds du défendeur (cf. Tappy, op. cit., n. 73 ad art. 91 CPC). En l’espèce, l’appelant soutient que la palissade litigieuse leur permet de vivre à l’abri des regards des voisins, de sorte que la valeur litigieuse serait supérieure à 10'000 francs. Les intimés n’ayant pas contesté ce point de vue, on peut admettre que la valeur litigieuse est en l’espèce supérieure à 10'000 fr. et que l’appel est ouvert, conformément au demeurant à l’indication des voies de droit au pied du jugement attaqué. Formé en temps utile (art. 311 al. 1 CPC) par une partie qui y a intérêt (art. 59 al. 2 let. a CPC), l’appel est recevable à la forme.</w:t>
      </w:r>
    </w:p>
    <w:p>
      <w:r>
        <w:rPr>
          <w:b/>
        </w:rPr>
        <w:t>E. 2</w:t>
      </w:r>
    </w:p>
    <w:p>
      <w:r>
        <w:t>L'appel est une voie de droit offrant à l'autorité de deuxième instance un plein pouvoir d'examen. Celle-ci examine librement tous les griefs de l'appelant, qu'ils concernent les faits ou le droit. Ainsi, l'instance d'appel revoit  les faits avec une cognition pleine et entière ; elle contrôle librement l'appréciation des preuves et les constatations de fait de la décision de première instance (Hohl, Procédure civile, tome II, 2 e éd., Berne 2010, n. 2399, p. 435). L'autorité d'appel applique le droit d'office : elle n'est pas liée par les motifs invoqués par les parties ou par le tribunal de première instance. Son pouvoir d'examen est plein et entier (Hohl, op. cit., n. 2396, p. 435 ; Spühler, in Schweizerische Zivilprozessordnung, Bâle 2010, n. 1 ad art. 311 CPC, qui parle de « vollkommenes Rechtsmittel »).</w:t>
      </w:r>
    </w:p>
    <w:p>
      <w:r>
        <w:rPr>
          <w:b/>
        </w:rPr>
        <w:t>E. 3</w:t>
      </w:r>
    </w:p>
    <w:p>
      <w:r>
        <w:t>e éd., Berne 2002, n. 2289, p. 393) ; l'étendue de la servitude peut être précisée, dans les limites de l'inscription, soit par son origine (titre d'acquisition ; Steinauer, op. cit., n. 2294, p. 395), soit par la manière dont elle a été exercée pendant longtemps, paisiblement et de bonne foi (al. 2). Pour déterminer le contenu d'une servitude, il convient de procéder selon l'ordre des étapes prévu par l'art. 738 CC : le juge doit dès lors se reporter en priorité à l'inscription au registre foncier, c'est-à-dire à l'inscription au feuillet du grand livre ; ce n'est que si celle-ci est peu claire, incomplète ou sommaire, que la servitude doit être interprétée selon son origine, à savoir l'acte constitutif déposé comme pièce justificative au registre foncier (TF 5A_325/2011 du 14 novembre 2011 c. 4.3 et les réf. citées ; ATF 137 III 145 c. 3.1). Le contrat de servitude et le plan sur lequel est reportée l'assiette de la servitude constituent à cet égard des pièces justificatives (art. 942 al. 2 CC). Si le titre d'acquisition ne permet pas de déterminer le contenu de la servitude, l'étendue de celle-ci peut alors être précisée par la manière dont elle a été exercée paisiblement et de bonne foi (art. 738 al. 2 CC ; ATF 131 III 345 c. 1.1, JT 2005 I 567). L'acte constitutif doit être interprété de la même manière que toute déclaration de volonté, à savoir, s'agissant d'un contrat, selon la réelle et commune intention des parties (art. 18 CO [Code des obligations suisse du 30 mars 1911, RS 220]), respectivement, pour le cas où celle-ci ne peut être établie, selon le principe de la confiance ; toutefois, vis-à-vis des tiers qui n'étaient pas parties au contrat constitutif de la servitude, ces principes d'interprétation sont limités par la foi publique attachée au registre foncier (art. 973 CC ; TF 5A_325/2011 précité c. 4.3 et les réf. citées ; ATF 137 III 145 c. 3.2.2), lequel comprend non seulement le grand livre, mais aussi les pièces justificatives, dans la mesure où elles précisent la portée de l'inscription (art. 971 al. 2 CC repris par l'art. 738 al. 2 CC ; cf. Hohl, Le contrôle de l'interprétation des servitudes par le Tribunal fédéral, in Revue du notariat et du registre foncier 2009, pp. 73 ss, spéc. p. 78). Ce dernier principe interdit de prendre en considération, dans la détermination de la volonté subjective, les circonstances et motifs personnels qui ont été déterminants dans la formation de la volonté des constituants ; dans la mesure où ils ne résultent pas de l'acte constitutif, ils ne sont pas opposables au tiers qui s'est fondé de bonne foi sur le registre foncier (TF 5A_325/2011 précité c. 4.3 ; ATF 130 III 554 c. 3.1 et les réf. citées). Le résultat de l'interprétation objective devrait être ainsi le même que celui de l'interprétation subjective limitée par la foi publique (Hohl, op. cit., p. 80). Selon la jurisprudence, le contenu des servitudes doit être interprété restrictivement, en ce sens que les droits du propriétaire grevé ne doivent être restreints que dans la mesure nécessaire à l'exercice normal de la servitude (ATF 109 II 412 c. 3, résumé in JT 1984 I 628 ; Steinauer, op. cit., n. 2292, p. 395). c) En l'espèce, la servitude de restriction aux droits de bâtir et de planter autorise comme clôtures les barrières à larges claires-voies, les grillages et les treillis métalliques, pour autant que les parties pleines ne dépassent pas une hauteur de 50 cm au-dessus du sol ; sont par ailleurs autorisées les plantations, pour autant qu’elles ne forment pas un écran ou un rideau, les haies pleines, quel que soit leur genre et leur emplacement, ne pouvant pas avoir une hauteur supérieure à 1 m 50. Il en découle que la servitude restreint la liberté du propriétaire s’agissant des clôtures qu’il entend installer et des haies qu’il souhaite planter ; la hauteur de la partie pleine de ces deux éléments est notamment limitée à 50 cm pour les clôtures et à 1 m 50 pour les haies. S’agissant des clôtures, il a été retenu dans le jugement du 5 septembre 2001, confirmé par l’arrêt de la Chambre des recours du 20 mars 2002, que la servitude n’autorisait que les barrières à claires-voies, les treillis et les grillages et que l’on ne pouvait admettre que l’autorisation s’étendait à la pose d’un filet sur une barrière à claires-voies, dès lors que celui-ci rendait celles-ci partiellement inopérantes et qu’il ne pouvait être comparé, de par le caractère serré de son maillage, à un treillis ou un grillage. Dans son arrêt du 5 juillet 2006, la Chambre des recours a relevé que la bâche installée devant la palissade avait le même effet que le filet qui y avait été apposé antérieurement et qu’elle contrevenait par conséquent aussi à la servitude ; s’agissant des plants de lierre plantés sous la palissade, il a été relevé notamment que du lierre poussant sur une palissade à claires-voies ne transformait pas sans autre celle-ci en une haie, dès lors qu’on ne pouvait parler de haie que pour un ensemble de végétaux vivants. En l’occurrence, il est établi que l’appelant a installé une palissade à larges claires-voies, sur laquelle il a fait pousser quelques plants de lierre qui ont pour effet désormais d’en obstruer globalement les ouvertures, ce qui n’était pas encore le cas lors des précédentes procédures. Une telle installation ne saurait être assimilée à une haie au sens de la servitude. En effet, d’une part, elle consiste essentiellement en une palissade en bois ; d’autre part, le seul fait que du lierre pousse sur celle-ci n’a pas pour effet de la transformer en haie, d’autant moins que la palissade demeure largement apparente depuis la parcelle des intimés et qu’elle ne se dissimule nullement derrière les végétaux. On relèvera à ce propos que la haie se définit en droit vaudois comme un ensemble de végétaux vivants (cf. art. 37 ss CRF [Code rural et foncier du 7 décembre 1987, RSV 211.41] ; Piotet, Le droit privé vaudois de la propriété foncière, Lausanne 1991, n. 1476, p. 646) et qu’en l’espèce, il n’y a guère que du lierre sur cette palissade. Une telle installation est par conséquent autorisée pour autant que sa partie pleine ne dépasse pas une hauteur de 50 cm au-dessus du sol. Or, le lierre planté par l’appelant a précisément pour effet d’obstruer les claires-voies au-delà de cette hauteur, de sorte que la servitude est manifestement violée. Peu importe à cet égard que l’obstacle soit imputable à un végétal et non à un autre matériau, l’esprit de la servitude n’étant à tout le moins pas respecté. Certes, selon la servitude, l’appelant pourrait planter et entretenir une haie pleine d’une hauteur de 1 m 50. Contrairement à ce que prétend celui-ci, on ne saurait toutefois en déduire que l’appelant aurait également le droit d’obstruer sur une même hauteur les claires-voies d’une palissade existante en y disposant du lierre. La servitude fait en effet expressément une distinction entre les clôtures et les plantations s’agissant de la hauteur de leur partie pleine, celle-ci étant limitée à 50 cm pour les premières et à 1 m 50 pour les secondes. Une telle distinction n’a certes guère de pertinence du point de vue du passage de la lumière, mais elle peut se justifier par d’autres intérêts, d’ordre esthétique notamment, dont les rédacteurs de la servitude ont manifestement voulu tenir compte. Quoi qu’il en soit, l’énoncé de la servitude est clair et il n’y a aucune raison de s’en écarter. Mal fondé, le moyen de l’appelant doit être rejeté.</w:t>
      </w:r>
    </w:p>
    <w:p>
      <w:r>
        <w:rPr>
          <w:b/>
        </w:rPr>
        <w:t>E. 4</w:t>
      </w:r>
    </w:p>
    <w:p>
      <w:r>
        <w:t>a) Dans un second moyen, l’appelant reproche au premier juge de l’avoir condamné à verser aux intimés un montant de 1'072 fr. 20 à titre de dépens réduits. Il soutient qu’en première instance, il a obtenu gain de cause sur l’essentiel et que seule une infime partie des conclusions des intimés ont été admises. b) Selon l'art. 92 al. 1 CPC-VD, disposition applicable en vertu de l'art. 404 al. 1 CPC, les dépens, qui comprennent les frais et émoluments de l'office, les frais de vacation des parties et les honoraires et déboursés de mandataire et d'avocat (art. 91 CPC-VD), sont alloués à la partie qui a obtenu l'adjudication de ses conclusions ; lorsqu'aucune des parties n'obtient entièrement gain de cause, le juge peut réduire les dépens ou les compenser (art. 92 al. 2 CPC-VD). Le juge doit donc rechercher lequel des plaideurs gagne le procès sur le principe ; lorsqu’il y a plusieurs questions litigieuses et que chacun d’eux obtient gain de cause sur certaines d’entre elles, il faut apprécier leur importance respective pour déterminer si l’un des plaideurs doit être considéré comme victorieux et a droit à tout ou partie des dépens (Poudret/Haldy/Tappy, Procédure civile vaudoise, 3 e éd., Lausanne 2002, n. 3 ad art. 92 CPC-VD et les réf. citées). c) En l’espèce, les intimés ont conclu en substance, dans leur demande du 21 décembre 2009, à ce qu’ordre soit donné à l’appelant d’éliminer tout matériel, y compris les végétaux, qui obstruent ou opacifient d’une manière ou d’une autre les claires-voies de la palissade installée en limite des propriétés (I), qu’interdiction lui soit faite d’incliner des parasols amovibles contre la palissade ou de déployer des toiles ou d’autre matériel contre cette même palissade (II), qu’interdiction lui soit également faite d’entretenir toute plantation d’une hauteur supérieure à 77,5 cm à la limite de la propriété (III), que les ordres qui précèdent soient signifiés sous la menace de la peine d’amende prévue à l’art. 292 CP (IV) et que l’appelant soit astreint à leur verser la somme de 1'125 fr. 60, avec intérêt, correspondant au remboursement des dépens du constat d’urgence (V). L’appelant a conclu à libération. Dans sa réponse, l’appelant a pris en outre des conclusions reconventionnelles tendant à l’abattage et à l’écimage d’arbres et de haies ; les intimés ont conclu au rejet des conclusions reconventionnelles et à l’abattage, respectivement l’écimage, d’arbres et de haies. Toutes ces conclusions ont néanmoins été retirées lors de l’audience préliminaire du 17 novembre 2010. S’agissant des conclusions qui restaient litigieuses devant le premier juge, les intimés ont donc obtenu gain de cause sur une conclusion (I en lien avec IV) et l’appelant sur les autres (II, III et V). Cela étant, les intimés ont obtenu gain de cause sur leur conclusion la plus importante et l’appelant uniquement sur des conclusions qui apparaissent plus secondaires. Ce sont donc bien les intimés qui ont gagné le procès sur le principe. On relèvera par ailleurs que la conclusion tendant au remboursement par l’appelant des dépens du constat d’urgence (V) a été rejetée uniquement parce que l’inspection locale a permis au premier juge de constater par lui-même ce qui ressortait dudit constat, de sorte que la condition d’urgence n’était plus satisfaite. Au vu de ce qui précède, c’est donc à bon droit que le premier juge a alloué aux intimés des dépens de première instance fortement réduits. Mal fondé, le moyen de l’appelant doit être rejeté.</w:t>
      </w:r>
    </w:p>
    <w:p>
      <w:r>
        <w:rPr>
          <w:b/>
        </w:rPr>
        <w:t>E. 5</w:t>
      </w:r>
    </w:p>
    <w:p>
      <w:r>
        <w:t>En conclusion, l’appel doit être rejeté et le jugement confirmé. Les frais judiciaires de deuxième instance, arrêtés à 750 fr. (art. 62 al. 1 TFJC [Tarif des frais judiciaires civils du 28 septembre 2010, RSV 270.11.5]), sont mis à la charge de l’appelant qui succombe (art. 106 al. 1 CPC). Il n’y a pas matière à l’allocation de dépens de deuxième instance, les intimés ayant renoncé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