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298 vom 20. April 2012</w:t>
      </w:r>
    </w:p>
    <w:p>
      <w:r>
        <w:t>VD Tribunal cantonal, 2012-04-20, FR</w:t>
      </w:r>
    </w:p>
    <w:p>
      <w:r>
        <w:rPr>
          <w:b/>
        </w:rPr>
        <w:t xml:space="preserve">Quelle: </w:t>
      </w:r>
      <w:r>
        <w:t>https://mcp.opencaselaw.ch/entscheid/vd_findinfo_HC___2012___298</w:t>
      </w:r>
    </w:p>
    <w:p>
      <w:r>
        <w:t>FR: VD_FINDINFO HC / 2012 / 298 du 20 avril 2012</w:t>
      </w:r>
    </w:p>
    <w:p>
      <w:r>
        <w:t>IT: VD_FINDINFO HC / 2012 / 298 del 20 aprile 2012</w:t>
      </w:r>
    </w:p>
    <w:p>
      <w:pPr>
        <w:pStyle w:val="Heading2"/>
      </w:pPr>
      <w:r>
        <w:t>Regeste</w:t>
      </w:r>
    </w:p>
    <w:p>
      <w:r>
        <w:t>INTERVENTION{PROCÉDURE}, INTÉRESSÉ | 80 al. 1 CPC, 319 let. b ch. 1 CPC (CH), 404 al. 1 CPC (CH)</w:t>
      </w:r>
    </w:p>
    <w:p>
      <w:pPr>
        <w:pStyle w:val="Heading2"/>
      </w:pPr>
      <w:r>
        <w:t>Erwägungen</w:t>
      </w:r>
    </w:p>
    <w:p>
      <w:r>
        <w:rPr>
          <w:b/>
        </w:rPr>
        <w:t>E. 1</w:t>
      </w:r>
    </w:p>
    <w:p>
      <w:r>
        <w:t>La décision entreprise ayant été rendue postérieurement à l'entrée en vigueur du Code de procédure civile suisse, le présent recours est régi par ce dernier (ATF 137 III 424). L'art. 319 let. b ch. 1 CPC (Code de procédure civile du 19 décembre 2008; RS 272) ouvre le recours contre les décisions incidentes en matière de requête d'intervention (art. 75 al. 2 CPC). La procédure incidente s'inscrivant dans le cadre d'une demande de partage non successoral déposée avant le 1 er janvier 2011, elle est soumise aux dispositions de l'ancien droit de procédure cantonal jusqu'à la clôture de l'instance (art. 404 al. 1 CPC). Déposé en temps utile par une partie qui a un intérêt juridique,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 éd., Lausanne 2002, n. 2 ad art. 83 CPC-VD, p. 149; Pittet-Middelmann, op. cit., p 186). Il n'appartient pas au juge de l'incident de préjuger les prétentions de l'intervenant; il doit s'en tenir à leur vraisemblance et admettre l'intervention lorsqu'elle présente une "apparence de raison" fondée sur des indices objectifs, qu'il incombe au requérant d'apporter (JT 1980 III 16 et 66; JT 1978 III 108).</w:t>
      </w:r>
    </w:p>
    <w:p>
      <w:r>
        <w:rPr>
          <w:b/>
        </w:rPr>
        <w:t>E. 3.1</w:t>
      </w:r>
    </w:p>
    <w:p>
      <w:r>
        <w:t>Aux termes de l'art. 80 CPC-VD, celui qui a un intérêt direct dans un procès peut y intervenir comme partie, quoique non appelé. La demande d'intervention peut être faite en tout état de cause; elle suspend l'instruction. D'après l'art. 81 CPC-VD, la demande d'intervention est faite par requête au juge saisi de la cause; elle doit contenir les motifs de l'intervention et les conclusions que l'intervenant entend prendre au procès; elle est instruite et jugée en la forme incidente. En vertu de l'art. 82 CPC-VD, l'intervenant devient partie au procès; en tant que l'état de la procédure le permet, il peut accomplir tous les actes de procédure d'une partie; les règles de la réforme sont réservées.</w:t>
      </w:r>
    </w:p>
    <w:p>
      <w:r>
        <w:rPr>
          <w:b/>
        </w:rPr>
        <w:t>E. 3.2</w:t>
      </w:r>
    </w:p>
    <w:p>
      <w:r>
        <w:t>D'après la jurisprudence vaudoise, l'art. 80 CPC-VD admet les deux types d'intervention que sont l'intervention conservatoire (ou accessoire) et l'intervention principale (ou agressive) (Poudret/Wurzburger/Haldy, Procédure civile vaudoise, Lausanne 1996, n. 1 ad art. 80). Dans la première, le tiers ne prend pas de conclusions indépendantes mais vient soutenir celles d'une partie qu'il a intérêt à voir triompher. Dans la seconde, le tiers intervient dans le procès pour y faire valoir un droit propre excluant en tout ou en partie celles des parties en cause (Hohl, Procédure civile I, 2001, n. 558). Les deux formes de l'intervention sont subordonnées à l'existence d'un intérêt direct. Un tel intérêt existe si son intervention permet de faire trancher par un seul jugement des prétentions issues d'un complexe de fait et de droit commun aux différents parties (Poudret, Note sur l'intervention volontaire, JT 1975 III 35 ss, spéc. p. 36; Pittet-Middelmann, L'intervention volontaire, Droit fédéral et procédures civiles cantonales, thèse 1997, p. 151). Un intérêt économique ou de fait de celui qui demande à intervenir ne suffit pas (Pittet-Middelmann, op. cit., p. 129 ss). L'intervention doit être admise même si elle n'est pas indispensable, mais seulement utile à la sauvegarde des droits de l'intervenant (TF 8C_624/2009 du 30 juillet 2010, consid. 5.1). Par analogie avec l'institution de l'appel en cause, il suffit que l'intérêt direct du requérant à l'intervention soit apparent ou vraisemblable (Poudret/Haldy/Tappy, Procédure civile vaudoise,</w:t>
      </w:r>
    </w:p>
    <w:p>
      <w:r>
        <w:rPr>
          <w:b/>
        </w:rPr>
        <w:t>E. 4.1</w:t>
      </w:r>
    </w:p>
    <w:p>
      <w:r>
        <w:t>La recourante considère que l'intimée B.________ n'a aucun intérêt juridique à être partie au procès et que sa requête est abusive dans la mesure où elle a l'intention de céder sa part de propriété à G.________. Le premier juge a retenu que B.________ avait établi de manière suffisamment vraisemblable les droits qu'elle entend faire valoir dans la procédure de partage, au vu de la transaction judiciaire – ayant valeur de jugement –  qui confirme l'acte de cession d'une part de copropriété de L.________ en sa faveur, nonobstant le fait que la validité de cette cession est contestée par la cédante, L.________, qui n'a ainsi vraisemblablement pas l'intention de faire valoir les intérêts de l'intervenante B.________ dans la procédure de partage (cf. jgt., p. 5). La Cour de céans constate que la procédure en partage non successoral aura notamment pour objet de déterminer la valeur comptable des parts de copropriété dont B.________ a rendu vraisemblable, au bénéfice de l'acte de cession, qu'elle était elle aussi copropriétaire. En se portant acquéreur de la part de copropriété de L.________, B.________ a suffisamment démontré sa volonté d'acquérir pour elle-même la part de copropriété, son intention de céder ultérieurement sa part de copropriété à l'un des copropriétaires n'y changeant rien. On ne peut dès lors que confirmer l'opinion du premier juge lorsqu'il considère que la requête d'intervention n'est pas abusive. Ce grief, mal fondé, doit être rejeté.</w:t>
      </w:r>
    </w:p>
    <w:p>
      <w:r>
        <w:rPr>
          <w:b/>
        </w:rPr>
        <w:t>E. 4.2</w:t>
      </w:r>
    </w:p>
    <w:p>
      <w:r>
        <w:t>Dans un second moyen, la recourante fait valoir que l'intimée ne pourra jamais devenir copropriétaire. Elle rappelle que l'acceptation d'un nouveau membre au sein de la copropriété est soumise à décision unanime de l'assemblée de la copropriété en application de l'art. IX de son règlement d'usage et d'administration. Or, en sa qualité de copropriétaire, elle s'oppose à l'admission de B.________ dans la copropriété. Cet argument ne permet toutefois pas de soutenir que B.________ n'aurait pas d'intérêt légitime à être partie au procès en partage, dans la mesure où l'intervenant a un intérêt direct au procès lorsque son intervention permet de faire trancher par un seul jugement des prétentions issues d'un complexe de fait et de droit commun aux différentes parties. Ce grief, mal fondé, doit être rejeté.</w:t>
      </w:r>
    </w:p>
    <w:p>
      <w:r>
        <w:rPr>
          <w:b/>
        </w:rPr>
        <w:t>E. 4.3</w:t>
      </w:r>
    </w:p>
    <w:p>
      <w:r>
        <w:t>La recourante allègue enfin que le premier juge aurait dû voir que l'intervention de l'intimée B.________ n'aurait d'autre conséquence que d'ouvrir la voie à de nouveaux procédés dilatoires en présence d'une procédure déjà très complexe. On ne voit cependant pas en quoi l'intervention de l'intimée B.________ dans la procédure en partage provoquerait une complication au procès. La recourante n'entreprend d'ailleurs pas de le démontrer, se bornant à des conjectures qui sont sans portée. Ce grief, mal fondé, ne peut qu'être rejeté.</w:t>
      </w:r>
    </w:p>
    <w:p>
      <w:r>
        <w:rPr>
          <w:b/>
        </w:rPr>
        <w:t>E. 5</w:t>
      </w:r>
    </w:p>
    <w:p>
      <w:r>
        <w:t>En définitive, le recours doit être rejeté et le jugement incident confirmé. Les frais judiciaires de deuxième instance fixés à 1'500 fr. (232 al. 1 TFJC [tarif du 4 décembre 1984 des frais judiciaires en matière civile]) sont mis à la charge de la recourante, qui succombe. L'intimée n'ayant pas été invitée à se déterminer, il n'est pas alloué de dépens. Par ces motifs, la Chambre des recours du Tribunal cantonal, statuant à huis clos, en application de l'art. 465 al. 1 CPC-VD, prononce : I. Le recours est rejeté. II. Le jugement est confirmé. III. Les frais judiciaires de deuxième instance, arrêtés à 1'500 fr. (mille cinq cents francs), sont mis à la charge de la recourante J.________. IV. Il n'est pas alloué de dépens de deuxième instance. V. L'arrêt motivé est exécutoire. Le président :               La greffière : Du 20 avril 2012 Le dispositif de l'arrêt qui précède est communiqué par écrit aux intéressés. La greffière : Du L'arrêt qui précède, dont la rédaction a été approuvée à huis clos, est notifié en expédition complète, par l'envoi de photocopies, à : ‑ Me Stephan Ducret, avocat (pour J.________), ‑ B.________, - Me Jean-Samuel Leuba, avocat (pour G.________, W.________, D.________), - Me Sandrine Osojnak, avocate (pour 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