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292 vom 5. April 2012</w:t>
      </w:r>
    </w:p>
    <w:p>
      <w:r>
        <w:t>VD Tribunal cantonal, 2012-04-05, FR</w:t>
      </w:r>
    </w:p>
    <w:p>
      <w:r>
        <w:rPr>
          <w:b/>
        </w:rPr>
        <w:t xml:space="preserve">Quelle: </w:t>
      </w:r>
      <w:r>
        <w:t>https://mcp.opencaselaw.ch/entscheid/vd_findinfo_HC___2012___292</w:t>
      </w:r>
    </w:p>
    <w:p>
      <w:r>
        <w:t>FR: VD_FINDINFO HC / 2012 / 292 du 5 avril 2012</w:t>
      </w:r>
    </w:p>
    <w:p>
      <w:r>
        <w:t>IT: VD_FINDINFO HC / 2012 / 292 del 5 aprile 2012</w:t>
      </w:r>
    </w:p>
    <w:p>
      <w:pPr>
        <w:pStyle w:val="Heading2"/>
      </w:pPr>
      <w:r>
        <w:t>Regeste</w:t>
      </w:r>
    </w:p>
    <w:p>
      <w:r>
        <w:t>APPEL EN CAUSE | 83 al. 1 CPC</w:t>
      </w:r>
    </w:p>
    <w:p>
      <w:pPr>
        <w:pStyle w:val="Heading2"/>
      </w:pPr>
      <w:r>
        <w:t>Erwägungen</w:t>
      </w:r>
    </w:p>
    <w:p>
      <w:r>
        <w:rPr>
          <w:b/>
        </w:rPr>
        <w:t>E. 1</w:t>
      </w:r>
    </w:p>
    <w:p>
      <w:r>
        <w:t>a) Selon l'art. 405 al. 1 CPC (Code de procédure civile du 19 décembre 2008; RS 272), les recours sont régis par le droit en vigueur au moment de la communication de la décision aux parties, soit la date de l’expédition du dispositif (ATF 137 III 127, JT 2011 II 226; ATF 137 III 130, JT 2011 II 228). Cet article vise essentiellement les recours contre des décisions clôturant la procédure de première instance (jugements au fond ou décisions de procédure mettant fin à l'instance). Selon la jurisprudence du Tribunal fédéral,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Sont donc applicables les dispositions contenues dans le CPC. L'art. 82 CPC dispose que la décision d’admission de l’appel en cause peut faire l’objet d’un recours, par quoi il faut également entendre la décision de refus d'appel en cause, la version française étant trompeuse sur ce point (Jeandin, CPC commenté, Bâle 2011, ad art. 82 n. 9). Le recours est ouvert (art. 319 let. b ch. 1 CPC) devant la Chambre des recours civile du canton de Vaud (art. 73 al. 1 LOJV [loi du 12 septembre 1979 d'organisation judiciaire; RSV 173.01). En outre, formé par des parties qui y ont intérêt (art. 59 al. 2 let. a CPC), motivé et déposé à temps, il est recevable. b) A teneur de l’art. 404 al. 1 CPC, les procédures en cours à l’entrée en vigueur de la présente loi sont régies par l’ancien droit de procédure jusqu’à la clôture de l’instance. En l'espèce, la demande au fond ayant été déposée avant l’entrée en vigueur du CPC et la procédure étant toujours pendante, le mérite des moyens du recours doit être examiné à la lumière de l’ancien droit de procédure, singulièrement les art. 83 et ss CPC-VD.</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w:t>
      </w:r>
    </w:p>
    <w:p>
      <w:r>
        <w:rPr>
          <w:b/>
        </w:rPr>
        <w:t>E. 3</w:t>
      </w:r>
    </w:p>
    <w:p>
      <w:r>
        <w:t>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 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CPC-VD, p. 153).</w:t>
      </w:r>
    </w:p>
    <w:p>
      <w:r>
        <w:rPr>
          <w:b/>
        </w:rPr>
        <w:t>E. 4</w:t>
      </w:r>
    </w:p>
    <w:p>
      <w:r>
        <w:t>Les recourants font valoir que l'administratrice de la PPE, l'appelée en cause C.________, avait l'obligation de rendre les copropriétaires attentifs à leurs incombances en matière de défauts de la chose vendue, cette obligation reposant sur quatre motifs qu'il convient d'examiner successivement. a) Les recourants soutiennent tout d'abord que la prétention litigieuse repose sur l'existence de la relation contractuelle entre la Communauté des copropriétaires et l'administratrice, à savoir sur le mandat donné à cette dernière de signaler les défauts de la chose vendue à l'entité concernée. Lorsque les parties communes d’un immeuble en PPE accusent des défauts dont répondrait le vendeur des parts, l’action en garantie n’appartient pas ex lege à la communauté des copropriétaires; sous réserve d’une cession conventionnelle, elle appartient aux copropriétaires individuellement (ATF 114 Il 239 et 111 II 458). Ainsi, il importe peu d’examiner la relation contractuelle, et les obligations qui en découlent, entre la Communauté des copropriétaires et l’administratrice, dès lors que les recourants ne prétendent pas qu’une cession conventionnelle en faveur de la communauté serait intervenue. Le premier grief doit par conséquent être rejeté. b) Les recourants soutiennent ensuite que l’administratrice a engagé sa responsabilité en vertu des art. 712s et 712t CC (Code civil suisse du 10 décembre 1907; RS 210). Les attributions prévues aux art. 712s et 712t CC relèvent de la gestion interne et externe de la PPE par l’administrateur (Steinauer, Les droits réels, tome I, n. 1130 ss). Conformément à la première de ces dispositions, qui se rapporte à la gestion interne, l’administrateur exécute tous les actes d’administration commune, conformément aux dispositions de la loi et du règlement ainsi qu’aux décisions de l’assemblée des copropriétaires. Ainsi, selon la doctrine et la jurisprudence cantonale, ces attributions ne comprennent pas le devoir de donner l’avis des défauts, même en ce qui concerne les défauts des parties communes (Die Praxis des Kantonsgerichtes von Graubünden [PKG] 1991 p. 24; Wermelinger, La propriété par étages, 2 e éd., n. 23). En l'espèce, on ne conçoit pas comment la responsabilité de l'administratrice serait engagée, si, par hypothèse, les recourants n’avaient pas respecté leurs incombances relativement à l’avis des défauts. Lorsque les recourants affirment qu’il est essentiel que l’administrateur maîtrise les questions juridiques en matière de droit de la construction, cela ne signifie pas pour autant qu’il lui appartient de prodiguer aux copropriétaires des conseils dans ce domaine concernant leurs droits individuels. Cette thèse ne trouve aucun appui dans l’énoncé légal de l’art. 712s CC, les attributions de l’administrateur étant définies, comme on l’a vu, par l’administration commune de la PPE et non par la préservation de l’intérêt de chacun des copropriétaires individuellement. Le second grief doit aussi être rejeté. c) Les recourants font également valoir que, comme l'administratrice et le promoteur sont une même personne, il existe un risque accru que l'administratrice n’observe pas scrupuleusement son devoir de fidélité envers la communauté des copropriétaires. Ils se prévalent de la jurisprudence rendue en matière de révocation de l’administrateur selon l’art. 712r CC (ATF 127 III 534 c. 3b). Il convient tout d’abord de relever que l’administratrice et le promoteur ne constituent pas une seule et même personne puisqu’en l’espèce, l’administratrice est la société anonyme éponyme du promoteur. Il s’agit donc juridiquement de deux personnalités distinctes. Quoi qu’il en soit, le risque de violation du devoir de fidélité, tel qu’allégué, ne pourrait se concevoir qu’à l’égard de la communauté des copropriétaires et non à l’égard de chacun des copropriétaires. Dès lors que chaque copropriétaire doit faire valoir individuellement la garantie des défauts de la chose vendue, le devoir de fidélité de l’administratrice ne saurait constituer un fondement juridique de l’appel en cause. Le moyen est également infondé. d) Enfin, les recourants se prévalent de la confusion existant entre A.________ et les différentes sociétés qu’il détiendrait pour soutenir que la distinction entre les différentes personnalités juridiques constituerait un abus de droit. Ainsi, ils relèvent que A.________ est l’administrateur avec signature individuelle de l’appelée en cause C.________, administratrice de la PPE, et que B.________SA et C.________ ont le même administrateur, la même adresse et le même numéro de téléphone, au point qu'ils ont confondu à plusieurs reprises leurs interlocuteurs, entre le promoteur, le constructeur et l'administratrice. Ces griefs sont irrecevables, car ils reposent sur des faits qui n’ont jamais été exposés en première instance (art. 326 al. 1 CPC). En effet, la procédure de recours a pour fonction principale de vérifier la conformité au droit et non de continuer la procédure de première instance. L’irrecevabilité de faits nouveaux vaut ainsi quelle que soit la maxime de première instance (FF 2006 6986). e) Les recourants n’ayant pas rendu vraisemblable l’existence d’une prétention à l’encontre de l’appelée en cause, il n’est pas nécessaire d’examiner les conditions d’application de l’art. 83 CPC-VD.</w:t>
      </w:r>
    </w:p>
    <w:p>
      <w:r>
        <w:rPr>
          <w:b/>
        </w:rPr>
        <w:t>E. 5</w:t>
      </w:r>
    </w:p>
    <w:p>
      <w:r>
        <w:t>avril 2012 Le dispositif de l'arrêt qui précède est communiqué par écrit aux intéressés. La greffière : Du L'arrêt qui précède, dont la rédaction a été approuvée à huis clos, est notifié en expédition complète, par l'envoi de photocopies, à : ‑ Me Antoine Eigenmann (pour la Communauté des copropriétaires de la PPE M.________ et consorts) ‑ Me Daniel Guignard (pour A.________ et B.________SA) La Chambre des recours civile considère que la valeur litigieuse est de 2'200'000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