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290 vom 18. April 2012</w:t>
      </w:r>
    </w:p>
    <w:p>
      <w:r>
        <w:t>VD Tribunal cantonal, 2012-04-18, FR</w:t>
      </w:r>
    </w:p>
    <w:p>
      <w:r>
        <w:rPr>
          <w:b/>
        </w:rPr>
        <w:t xml:space="preserve">Quelle: </w:t>
      </w:r>
      <w:r>
        <w:t>https://mcp.opencaselaw.ch/entscheid/vd_findinfo_HC___2012___290</w:t>
      </w:r>
    </w:p>
    <w:p>
      <w:r>
        <w:t>FR: VD_FINDINFO HC / 2012 / 290 du 18 avril 2012</w:t>
      </w:r>
    </w:p>
    <w:p>
      <w:r>
        <w:t>IT: VD_FINDINFO HC / 2012 / 290 del 18 aprile 2012</w:t>
      </w:r>
    </w:p>
    <w:p>
      <w:pPr>
        <w:pStyle w:val="Heading2"/>
      </w:pPr>
      <w:r>
        <w:t>Regeste</w:t>
      </w:r>
    </w:p>
    <w:p>
      <w:r>
        <w:t>DÉPENS, VALEUR LITIGIEUSE | 110 CPC (CH), 257 CPC (CH), 321 al. 2 CPC (CH), 11 TDC, 20 al. 2 TDC, 6 TDC</w:t>
      </w:r>
    </w:p>
    <w:p>
      <w:pPr>
        <w:pStyle w:val="Heading2"/>
      </w:pPr>
      <w:r>
        <w:t>Erwägungen</w:t>
      </w:r>
    </w:p>
    <w:p>
      <w:r>
        <w:rPr>
          <w:b/>
        </w:rPr>
        <w:t>E. 1</w:t>
      </w:r>
    </w:p>
    <w:p>
      <w:r>
        <w:t>La décision attaquée a été rendue le 20 octobre 2011, de sorte que les voies de droit sont régies par le CPC, entré en vigueur le 1 er janvier 2011.</w:t>
      </w:r>
    </w:p>
    <w:p>
      <w:r>
        <w:rPr>
          <w:b/>
        </w:rPr>
        <w:t>E. 2</w:t>
      </w:r>
    </w:p>
    <w:p>
      <w:r>
        <w:t>Aux termes de l'art. 110 CPC, la décision sur les frais ne peut être attaquée séparément que par un recours. Le recours est dès lors ouvert en vertu de l'art. 319 let. a CPC. La décision ayant été rendue en application de l'art. 257 CPC, relatif aux cas clairs, c'est la procédure sommaire qui est applicable et le délai de recours est de 10 jours (art. 321 al. 2 CPC). Motivé et déposé en temps utile par la recourante qui, contestant le montant des dépens alloués pour l'activité de son représentant professionnel, a qualité pour recourir, le présent recours est recevable.</w:t>
      </w:r>
    </w:p>
    <w:p>
      <w:r>
        <w:rPr>
          <w:b/>
        </w:rPr>
        <w:t>E. 3</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Berne 2009, n. 19 ad art. 97 LTF). Les constatations de fait et l'appréciation des preuves sont arbitraires lorsqu'elles sont évidemment fausses, contredisent d'une manière choquante le sentiment de la justice et d'équité,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La recourante invoque une fausse application de l'art. 11 TDC au sujet de la fixation des dépens qui lui ont été alloués par le premier juge et soutient qu'en raison de l'activité déployée, ils auraient dû être arrêtés à 1'000 francs.</w:t>
      </w:r>
    </w:p>
    <w:p>
      <w:r>
        <w:rPr>
          <w:b/>
        </w:rPr>
        <w:t>E. 4.1</w:t>
      </w:r>
    </w:p>
    <w:p>
      <w:r>
        <w:t>Les frais comprennent les frais judiciaires et les dépens (art. 95 al. 1 CPC). Les dépens sont une indemnité de procédure mise à la charge d’un plaideur en faveur de l’autre pour le dédommager des dépenses ou du manque à gagner occasionnés par le procès (Tappy, CPC commenté, n. 21 ad art. 95 CPC). Ils comprennent les débours nécessaires (art. 95 al. 3 let. a CPC) et le défraiement d’un représentant professionnel (al. 3 let b) au sens de l'art. 68 CPC. Ils sont fixés selon le TDC (art. 96 CPC). La partie succombante (art. 106 al. 1 CPC) doit verser à la partie qui a obtenu gain de cause tous les frais nécessaires causés par le litige (art. 37 al. 2 CDPJ [Code de droit privé judiciaire vaudois du 12 janvier 2010; RS 211.01]). Dans les contestations portant sur des affaires patrimoniales, le défraiement est fixé selon le type de procédure en considération de l'importance de la cause, de ses difficultés, de l'ampleur du travail et du temps consacré par l'avocat ou l'agent d'affaire breveté (art. 3 al. 2 TDC).</w:t>
      </w:r>
    </w:p>
    <w:p>
      <w:r>
        <w:rPr>
          <w:b/>
        </w:rPr>
        <w:t>E. 4.2</w:t>
      </w:r>
    </w:p>
    <w:p>
      <w:r>
        <w:t>Dans le cas d'espèce, la valeur litigieuse s'élevant à 5'700 fr., les dépens doivent être arrêtés dans une fourchette comprise entre 600 fr. et 1'500 francs (art. 11 TDC). L'autorité de première instance a considéré qu'il y avait disproportion manifeste entre le travail effectif de l'agent d'affaires représentant la recourante et le tarif applicable selon l'art. 11 TDC. Elle a dès lors fixé des dépens inférieurs, en application de l'art. 20 al. 2 TDC. La cour de céans relève toutefois que le montant de 250 fr. alloué ne permet pas de rémunérer le mandataire professionnel pour les activités déployées en première instance, à savoir la préparation et la rédaction d'une requête, le déplacement et l'assistance à l'audience, de même que quelques opérations secondaires pour la fixation de l'audience et le versement de l'avance de frais. En particulier, le fait que l'agent d'affaires ait été représenté à l'audience par son employée agréé ne modifie pas cette appréciation. Il y a dès lors lieu d'accorder un montant de 700 fr., à titre de dépens de première instance.</w:t>
      </w:r>
    </w:p>
    <w:p>
      <w:r>
        <w:rPr>
          <w:b/>
        </w:rPr>
        <w:t>E. 5</w:t>
      </w:r>
    </w:p>
    <w:p>
      <w:r>
        <w:t>En définitive, le recours doit être partiellement admis. Le chiffre V de la décision du 20 octobre 2011 est réformé (art. 327 al. 3 let. b CPC) en ce sens que la partie défenderesse remboursera à la partie demanderesse son avance de frais à hauteur de 480 fr., et lui versera en outre la somme de 700 fr. à titre de défraiement de son représentant professionnel, la décision étant confirmée pour le surplus. Les frais judiciaires de deuxième instance sont arrêtés à 100 fr. (art. 69 al. 1 TFJC [tarif des frais judiciaires en matière civile du 28 septembre 2010; RSV 270.11.5]). Obtenant partiellement gain de cause, la recourante a droit à des dépens partiels de deuxième instance, qu'il convient d'arrêter à 250 fr., comprenant le remboursement des frais judiciaires (art. 106 et 111 CPC; 2, 3 et 13 TDC), et de les mettre à la charge de l'intimé. Par ces motifs, la Chambre des recours civile du Tribunal cantonal, statuant à huis clos, prononce : I. Le recours est partiellement admis. II. La décision est réformée au chiffre V de son dispositif en ce sens que la partie défenderesse remboursera à la partie demanderesse son avance de frais à hauteur de 480 fr. (quatre cent huitante francs), et lui versera en outre la somme de 700 fr. (sept cents francs) à titre de défraiement de son représentant professionnel, la décision étant confirmée pour le surplus. III. Les frais judiciaires de deuxième instance, arrêtés à 100 fr. (cent francs), sont mis à la charge de l'intimé. IV. L'intimé M.________ doit verser à la recourante A.________ la somme de 250 fr. (deux cent cinquante francs), à titre de dépens et de restitution d'avance de frais de deuxième instance. V. L'arrêt motivé est exécutoire. Le président :               La greffière : Du 19 avril 2012 Le dispositif de l'arrêt qui précède est communiqué par écrit aux intéressés. La greffière : Du L'arrêt qui précède, dont la rédaction a été approuvée à huis clos, est notifié en expédition complète, par l'envoi de photocopies, à : ‑ M. Alain Vuffrey, aab (pour A.________), ‑ M. M.________. La Chambre des recours civile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