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278 vom 30. April 2012</w:t>
      </w:r>
    </w:p>
    <w:p>
      <w:r>
        <w:t>VD Tribunal cantonal, 2012-04-30, FR</w:t>
      </w:r>
    </w:p>
    <w:p>
      <w:r>
        <w:rPr>
          <w:b/>
        </w:rPr>
        <w:t xml:space="preserve">Quelle: </w:t>
      </w:r>
      <w:r>
        <w:t>https://mcp.opencaselaw.ch/entscheid/vd_findinfo_HC___2012___278</w:t>
      </w:r>
    </w:p>
    <w:p>
      <w:r>
        <w:t>FR: VD_FINDINFO HC / 2012 / 278 du 30 avril 2012</w:t>
      </w:r>
    </w:p>
    <w:p>
      <w:r>
        <w:t>IT: VD_FINDINFO HC / 2012 / 278 del 30 aprile 2012</w:t>
      </w:r>
    </w:p>
    <w:p>
      <w:pPr>
        <w:pStyle w:val="Heading2"/>
      </w:pPr>
      <w:r>
        <w:t>Regeste</w:t>
      </w:r>
    </w:p>
    <w:p>
      <w:r>
        <w:t>EXPULSION DE LOCATAIRE | 257d CO</w:t>
      </w:r>
    </w:p>
    <w:p>
      <w:pPr>
        <w:pStyle w:val="Heading2"/>
      </w:pPr>
      <w:r>
        <w:t>Erwägungen</w:t>
      </w:r>
    </w:p>
    <w:p>
      <w:r>
        <w:rPr>
          <w:b/>
        </w:rPr>
        <w:t>E. 1</w:t>
      </w:r>
    </w:p>
    <w:p>
      <w:r>
        <w:t>a) L'appel est recevable contre les décisions finales de première instance (art. 308 al. 1 let. a CPC [Code de procédure civile du 19 décembre 2010; RS 272]) au sens de l'art. 236 CPC, dans les causes patrimoniales dont la valeur litigieuse dépasse 10'000 fr. (art. 308 al. 2 CPC), ce qui est le cas en l'espèce. En effet, lorsque l'appel est dirigé contre une ordonnance d'expulsion rendue pour défaut de paiement de loyers,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b) Les bailleurs ont déposé une requête selon la procédure de protection en cas clair de l'art. 257 CPC, de sorte que s'applique la procédure sommaire (art. 248 let. b CPC). Sommairement motivé (art. 311 al. 1 CPC) et déposé en temps utile (art. 314 al. 1 CPC) par une partie qui y a intérêt (art. 59 al. 2 let. a CPC), l'appel est ainsi recevable.</w:t>
      </w:r>
    </w:p>
    <w:p>
      <w:r>
        <w:rPr>
          <w:b/>
        </w:rPr>
        <w:t>E. 2</w:t>
      </w:r>
    </w:p>
    <w:p>
      <w:r>
        <w:t>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30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b) En l'espèce, l’appelant ne conteste pas avoir été en retard dans le paiement des loyers du mois de septembre 2011. Au contraire, il admet, dans sa requête en annulation de congé du 18 novembre 2011 déposée auprès de la Commission de conciliation en matière de baux à loyer, qu'il a payé ces loyers le 3 novembre 2011 (cf. également pièce 16 du bordereau des bailleurs), soit après l'échéance du délai comminatoire. En effet, le délai de 30 jours imparti par les bailleurs le 20 septembre 2011 a commencé à courir le 23 septembre 2011, lendemain de la date à laquelle ces courriers ont été distribués aux locataires, et est arrivé à échéance le 24 octobre 2011 (art. 142 al. 1 et 3 CPC). L'art. 257d CO donnait dès lors le droit aux intimés de résilier le bail en cause moyennant un délai de 30 jours, ce qu'ils ont fait valablement le 25 octobre 2011 pour le 30 novembre 2011. Par ailleurs, l'expulsion a été requise en temps opportun, soit après l'expiration du bail (en l'espèce, le 2 décembre 2011) (Lachat, Le bail à loyer, 2 e éd., Lausanne 2008, note infrapaginale 88, p. 816). c) L'appelant soutient que lors de l'audience du 13 mars 2012, un accord serait intervenu avec le bailleur selon lequel celui-ci renoncerait à faire exécuter l'ordonnance d'expulsion en cas de paiement régulier des loyers durant les six prochains mois. Or, il ne ressort d'aucune des pièces du dossier – et l'appelant ne l'établit pas non plus – qu'un tel accord aurait été conclu entre les parties. Le moyen soulevé par l'appelant est dès lors infondé, étant toutefois précisé que les bailleurs demeurent libres de renoncer à requérir l'exécution forcée de l'ordonnance d'expulsion du 21 mars 2012.</w:t>
      </w:r>
    </w:p>
    <w:p>
      <w:r>
        <w:rPr>
          <w:b/>
        </w:rPr>
        <w:t>E. 3</w:t>
      </w:r>
    </w:p>
    <w:p>
      <w:r>
        <w:t>Au vu de ce qui précède, l'appel doit être rejeté dans la procédure de l'art. 312 al. 1 CPC. Il n'y a pas lieu de percevoir des frais judiciaires (art. 107 al. 1 let. f CPC), ni d'allouer des dépens de deuxième instance dès lors que les intimés n'ont pas été invités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