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276 vom 20. April 2012</w:t>
      </w:r>
    </w:p>
    <w:p>
      <w:r>
        <w:t>VD Tribunal cantonal, 2012-04-20, FR</w:t>
      </w:r>
    </w:p>
    <w:p>
      <w:r>
        <w:rPr>
          <w:b/>
        </w:rPr>
        <w:t xml:space="preserve">Quelle: </w:t>
      </w:r>
      <w:r>
        <w:t>https://mcp.opencaselaw.ch/entscheid/vd_findinfo_HC___2012___276</w:t>
      </w:r>
    </w:p>
    <w:p>
      <w:r>
        <w:t>FR: VD_FINDINFO HC / 2012 / 276 du 20 avril 2012</w:t>
      </w:r>
    </w:p>
    <w:p>
      <w:r>
        <w:t>IT: VD_FINDINFO HC / 2012 / 276 del 20 aprile 2012</w:t>
      </w:r>
    </w:p>
    <w:p>
      <w:pPr>
        <w:pStyle w:val="Heading2"/>
      </w:pPr>
      <w:r>
        <w:t>Regeste</w:t>
      </w:r>
    </w:p>
    <w:p>
      <w:r>
        <w:t>RESPONSABILITÉ DES ORGANES DE LA TUTELLE, PRESCRIPTION | 454 al. 1 CC, 60 al. 1 CO, 60 CO, 153 CPC, 319 let. b ch. 2 CPC (CH)</w:t>
      </w:r>
    </w:p>
    <w:p>
      <w:pPr>
        <w:pStyle w:val="Heading2"/>
      </w:pPr>
      <w:r>
        <w:t>Erwägungen</w:t>
      </w:r>
    </w:p>
    <w:p>
      <w:r>
        <w:rPr>
          <w:b/>
        </w:rPr>
        <w:t>E. 1</w:t>
      </w:r>
    </w:p>
    <w:p>
      <w:r>
        <w:t>CPC s’applique à toutes les décisions, et non seulement aux décisions finales (ATF 137 III 424 c. 2.3.2). Cela étant, la procédure ayant été ouverte avant le 1 er janvier 2011, le droit de procédure dont la bonne application est contrôlée par l’autorité de recours est l’ancien droit de procédure cantonal (Tappy, in CPC commenté, Bâle 2011, n. 23 ad art. 405 CPC), notamment les dispositions du CPC-VD (Code de procédure civile vaudoise du 14 décembre 1966). b) Selon l’art. 319 let. b CPC, le recours est ouvert contre les ordonnances d’instruction et les décisions autres que finales, incidentes ou provisionnelles de première instance, dans les cas prévus par la loi ou lorsqu’elles peuvent causer un préjudice difficilement réparable (cf. HohI, Procédure civile, tome Il, 2 e éd., Berne 2010, n. 2478, p. 447 et n. 2480, p. 448). En l’espèce, la décision attaquée correspond à la notion d’ « autres décisions » de cette disposition. La doctrine classe en effet dans cette catégorie notamment les décisions par lesquelles le juge statue sur l’admission de faits et moyens de preuve nouveaux (art. 229 CPC) ou sur l’admission de conclusions modifiées (art. 227 et 230 CPC) (Jeandin, in CPC commenté, n. 15 ad art. 319 CPC). Le recours contre une décision refusant des faits et moyens de preuve nouveaux ou des conclusions modifiées, respectivement contre une décision refusant une requête de réforme, n’étant pas expressément prévu par le CPC, il n’est recevable que si ladite décision est susceptible de causer un préjudice difficilement réparable. La jurisprudence de la Chambre de céans a relevé que la notion de préjudice difficilement réparable était plus large que celle de dommage irréparable de l’art. 93 al. 1 let. a LTF (Loi du 17 juin 2005 sur le Tribunal fédéral, RS 173.110), puisqu’elle devait également viser les désavantages de fait (JT 2011 III 86 c. 3). Un préjudice irréparable de nature juridique doit ne pas pouvoir être ultérieurement réparé ou entièrement réparé par une décision finale favorable au recourant (ATF 134 III 188 c. 2.1 et 2.2). Le jugement de réforme de l’ancien droit de procédure cantonal, lorsqu’il porte sur une requête tendant notamment, comme en l’espèce, à une augmentation de conclusions et qu’il refuse la réforme sollicitée est susceptible de causer au requérant un préjudice difficilement réparable. En effet, l’ouverture d’un autre procès entre les mêmes parties portant sur un objet fondé sur un ensemble de faits identiques serait susceptible de se heurter à l’exception de chose jugée. Il y a donc bien préjudice difficilement réparable dans un tel cas. Selon l’ancien droit de procédure cantonal, le recours en réforme contre une décision incidente rejetant une requête de réforme tendant à une augmentation des conclusions était d’ailleurs immédiatement ouvert (Poudret/Haldy/Tappy, Procédure civile vaudoise, 3 e éd., Lausanne 2002, n. 2 ad art. 154 CPC-VD et les réf. citées), alors qu’il ne l’était pas dans les autres cas. Il découle de ce qui précède que la voie du recours est ouverte. Déposé en temps utile (art. 321 al. 2 CPC) par une partie qui y a intérêt (art. 59 al. 2 let. a CPC) et dont les conclusions ne sont ni nouvelles ni plus amples que celles prises en première instance (art. 326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op. cit., n. 2508, p. 452). S'agissant de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soutient qu’elle a un intérêt réel à introduire les allégués 491 à 515 et la conclusion Ibis figurant dans son projet de réplique complémentaire. Selon elle, les prétentions qu’elle entend faire valoir par la réforme ne sont pas prescrites, contrairement à ce qu’a retenu le premier juge, et pourraient donc être allouées. A l’appui de sa thèse, la recourante discute d’abord la question du point de départ de la prescription ; elle reproche au premier juge de n’avoir pas tenu compte de l’exigence légale de la remise d’un compte final et d’avoir ainsi à tort retenu un point de départ de la prescription en décembre 1999, mois de la cessation des fonctions de curateur de F.________. La recourante soulève ensuite la question de l’éventuelle application d’une prescription pénale de plus longue durée et invoque enfin des actes interruptifs dont le premier juge n’aurait pas tenu compte. b) aa) L’art. 153 al. 1 CPC-VD dispose que, sous réserve de l’art. 36 CPC-VD – qui traite de la restitution d’un délai judiciaire –, la partie qui désire obtenir la restitution d’un délai, corriger ou compléter sa procédure peut, jusqu’à la clôture de l’audience de jugement, demander l’autorisation de se réformer, l’art. 317b CPC-VD étant réservé. La réforme ne sera accordée que si le requérant y a un intérêt réel (art. 153 al. 2 CPC-VD). La requête de réforme présentée dans le dessein de prolonger la procédure doit être écartée (art. 153 al. 3 CPC-VD). Le droit à la réforme n’est pas subordonné à l’absence de faute du requérant – car il a précisément été institué pour permettre au plaideur négligent de rattraper un délai ou rectifier une erreur, de manière à ce que le jugement repose sur un état de fait complet et correspondant autant que possible à la réalité (BGC automne 1966, p. 719 ; Poudret/Haldy/Tappy, op. cit., n. 2 ad art. 153 CPC-VD) – mais seulement à l’existence d’un intérêt réel (Poudret/Haldy/Tappy, op. cit., n. 2 ad art. 153 CPC-VD ; CREC I 18 septembre 2007/471 c. 1). Selon la jurisprudence, cet intérêt réel doit être démontré par le requérant et être apprécié au regard de l’ensemble des circonstances, en particulier de la pertinence du fait allégué, de sa vraisemblance, de la force de la preuve offerte et de la durée probable de la procédure consécutive à la réforme (JT 1988 III 70 c. 4 ; JT 1979 III 126 ; Poudret/Haldy/Tappy, op. cit., n. 4 ad art. 153 CPC-VD ; CREC I 18 septembre 2007/471 c. 2). En particulier, si les faits invoqués à l’appui de la requête de réforme sont dénués de pertinence ou déjà invoqués sous une autre forme en procédure, celle-ci devra être refusée (JT 1988 III 70 c. 4 ; JT 1979 III 34 et note ; CREC I 18 septembre 2007/471 c. 2). La pertinence des faits allégués (art. 163 al. 2 CPC-VD) et la nécessité des preuves offertes (art.</w:t>
      </w:r>
    </w:p>
    <w:p>
      <w:r>
        <w:rPr>
          <w:b/>
        </w:rPr>
        <w:t>E. 5</w:t>
      </w:r>
    </w:p>
    <w:p>
      <w:r>
        <w:t>Le conseil d’office de la recourante a déposé, le 18 avril 2012, une liste des opérations dont il ressort qu’il a consacré 5 heures et 45 minutes à la procédure de recours, ce qui apparaît justifié vu l’ampleur du litige et le travail accompli. Au tarif horaire de 180 fr. (art. 2 al. 1 let. a RAJ [Règlement sur l’assistance judiciaire en matière civile du 7 décembre 2010, RSV 211.02.3]), l’indemnité d’honoraires doit être fixée à 1'117 fr. 80, TVA comprise. Les débours annoncés, par 18 fr. 50, TVA comprise, doivent également être alloués (art. 3 al. 1 RAJ). L’indemnité de Me Cornelia Seeger Tappy doit ainsi être fixée à 1'136 fr. 30. Dans la mesure de l’art. 123 CPC, la bénéficiaire de l’assistance judiciaire est tenue au remboursement des frais judiciaires et de l’indemnité à son conseil d’office mis à la charge de l’Etat. Par ces motifs, la Chambre des recours civile du Tribunal cantonal, statuant à huis clos, prononce : I. Le recours est admis. II. Le jugement est réformé en ce sens que la requête de réforme d’A.________ est admise également pour l’introduction des allégués 491 à 515 et pour l’introduction de la conclusion Ibis, figurant dans le projet de réplique complémentaire. III. Les frais judiciaires de deuxième instance sont laissés à la charge de l’Etat. IV. L’indemnité d’office de Me Seeger Tappy, conseil de la recourante, est arrêtée à 1'136 fr. 30 (mille cent trente-six francs et trente centimes). V. La bénéficiaire de l’assistance judiciaire est, dans la mesure de l’art. 123 CPC, tenue au remboursement des frais judiciaires et de l’indemnité du conseil d’office mis à la charge de l’Etat. VI. L’intimé F.________ doit verser à la recourante A.________ la somme de 1'500 fr. (mille cinq cents francs) à titre de dépens de deuxième instance. VII. L’arrêt motivé est exécutoire. Le président : Le greffier : Du 23 avril 2012 Le dispositif de l'arrêt qui précède est communiqué par écrit aux intéressés. Le greffier : Du L'arrêt qui précède, dont la rédaction a été approuvée à huis clos, est notifié en expédition complète, par l'envoi de photocopies, à : ‑ Me Cornelia Seeger Tappy (pour A.________) ‑ Me Christian Fischer (pour F.________) - M.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