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272 vom 18. April 2012</w:t>
      </w:r>
    </w:p>
    <w:p>
      <w:r>
        <w:t>VD Tribunal cantonal, 2012-04-18, FR</w:t>
      </w:r>
    </w:p>
    <w:p>
      <w:r>
        <w:rPr>
          <w:b/>
        </w:rPr>
        <w:t xml:space="preserve">Quelle: </w:t>
      </w:r>
      <w:r>
        <w:t>https://mcp.opencaselaw.ch/entscheid/vd_findinfo_HC___2012___272</w:t>
      </w:r>
    </w:p>
    <w:p>
      <w:r>
        <w:t>FR: VD_FINDINFO HC / 2012 / 272 du 18 avril 2012</w:t>
      </w:r>
    </w:p>
    <w:p>
      <w:r>
        <w:t>IT: VD_FINDINFO HC / 2012 / 272 del 18 aprile 2012</w:t>
      </w:r>
    </w:p>
    <w:p>
      <w:pPr>
        <w:pStyle w:val="Heading2"/>
      </w:pPr>
      <w:r>
        <w:t>Regeste</w:t>
      </w:r>
    </w:p>
    <w:p>
      <w:r>
        <w:t>BAIL À LOYER, EXPULSION DE LOCATAIRE | 257d al. 1 CO, 257d al. 2 CO, 257d CO, 257 CPC (CH), 68 al. 2 CPC (CH)</w:t>
      </w:r>
    </w:p>
    <w:p>
      <w:pPr>
        <w:pStyle w:val="Heading2"/>
      </w:pPr>
      <w:r>
        <w:t>Erwägungen</w:t>
      </w:r>
    </w:p>
    <w:p>
      <w:r>
        <w:rPr>
          <w:b/>
        </w:rPr>
        <w:t>E. 1</w:t>
      </w:r>
    </w:p>
    <w:p>
      <w:r>
        <w:t>a) L’ordonnance attaquée a été rendue le 24 février 2012, de sorte que les voies de droit sont régies par le CPC (Code de procédure civile suisse du 19 décembre 2008, RS 272), entré en vigueur le 1 er janvier 2011 (art. 405 al. 1 CPC). b) Le litige porte sur le bien-fondé d'une ordonnance d'expulsion rendue pour défaut de paiement de loyers. Pour déterminer quelle voie de droit, de l'appel ou du recours, est ouverte, il y a lieu de se fonder sur la valeur litigieuse, calculée selon le droit fédéral, l’appel étant ouvert, s’agissant d’affaires patrimoniales, pour autant que cette valeur soit supérieure à 10'000 fr. (art. 308 al. 2 CPC). En l’occurrence,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 cf. TF 4A_634/2009 du 3 mars 2010 c. 1.1 ; SJ 2001 I 17 c. 1a ; ATF 119 II 147 c. 1 ; Lachat, Le bail à loyer, Zurich 2008, pp. 749 ss). En l’espèce, le loyer mensuel s’élève, acompte pour frais accessoires compris, à 1’525 fr. et il ressort des conclusions prises par l’appelante que celle-ci souhaite le maintien du bail, qui se renouvelle d’année en année, sauf avis de résiliation par l’une ou l’autre des parties. La valeur litigieuse est ainsi supérieure à 10'000 fr., ce qui ouvre la voie de l’appel. c)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Déposé le 19 mars 2012, l’appel l’a été en temps utile. d) L’appel ordinaire, tel que prévu aux art. 308 ss CPC, a un effet réformatoire, l’effet cassatoire de l’appel n’étant que l’exception réservée aux deux situations prévues à l’art. 318 al. 1 let. c CPC (Jeandin, CPC commenté, Bâle 2011, n.</w:t>
      </w:r>
    </w:p>
    <w:p>
      <w:r>
        <w:rPr>
          <w:b/>
        </w:rPr>
        <w:t>E. 4</w:t>
      </w:r>
    </w:p>
    <w:p>
      <w:r>
        <w:t>a) Dans un premier moyen, l’appelante invoque une violation de l’art. 68 CPC au motif que la requête d’expulsion a été adressée au premier juge par le Service financier de la Commune de [...], lequel agissait en qualité de mandataire de l’intimée. b) A teneur de l’art. 68 al. 2 CPC, sont autorisés à représenter les parties à titre professionnel les avocats autorisés à pratiquer la représentation en justice (dans toutes les procédures), les agents d’affaires et les agents juridiques brevetés, si le droit cantonal le prévoit (devant l’autorité de conciliation, dans les affaires patrimoniales soumises à la procédure simplifiée et dans les affaires soumises à la procédure sommaire), les représentants professionnels au sens de l’art. 27 LP (Loi fédérale du 11 avril 1889 sur la poursuite pour dettes et la faillite, RS 281.1) (dans les affaires soumises à la procédure sommaire) et les mandataires professionnellement qualifiés, si le droit cantonal le prévoit (devant les juridictions spéciales en matière de contrat de bail et de contrat de travail). Le droit cantonal prévoit que les représentants des organisations représentatives de locataires ou de bailleurs, préalablement autorisées par le Tribunal cantonal, peuvent représenter les parties devant les commissions de conciliation en matière de baux, le Tribunal des baux et dans le cadre des procédures d’expulsion (art. 36 al. 2 CDPJ [Code de droit privé judiciaire vaudois du 12 janvier 2010, RSV 211.02]). En outre, dans la procédure de conciliation, le gérant d’immeuble est habilité à représenter le bailleur en vertu de l’art. 204 al. 3 let. c CPC. On est en présence de représentation professionnelle lorsque quelqu’un représente régulièrement et contre rémunération des mandants devant les autorités de poursuites (Roth, in Kommentar zum Bundesgesetz über Schuldbetreibung und Konkurs, 2 e éd., Bâle 2010, n. 7 ad art. 27 LP). Le critère de la régularité ne doit pas être soumis à de strictes conditions (Jaeger/Walder/ Kull/Kottmann, Bundesgesetz über Schuldbetreibung und Konkurs, 4 e éd., Zurich 1997, n. 3 ad art. 27 LP). Il y a représentation professionnelle dès que le représentant est prêt à accepter des mandats d’un nombre indéterminé de personnes (ibid. ; CPF 28 avril 2009/16 c. 2b). c) En l’espèce, le Service financier de la Commune de [...] ne saurait être qualifié de représentant, encore moins de représentant professionnel. Il est vrai que l’intimée est un établissement de droit public ayant la personnalité morale, conformément au décret du Grand conseil du 17 novembre 1942, et qu’elle ne constitue dès lors pas un service administratif de la commune. Il n’en demeure pas moins qu’elle est étroitement liée à l’administration communale et que, selon l’art. 2 de ses statuts, si sa fortune est distincte de celle de la commune, elle est gérée par la caisse « avec le concours de l’administration communale ». Le concours de l’administration communale étant ancré dans les statuts et l’art. 8 al. 3 du règlement d’application permettant au conseil d’administration de donner procuration à d’autres personnes pour l’engager ou la représenter par leur signature individuelle ou collective, il y a lieu de retenir que l’on est en présence d’une situation atypique qui n’est pas assimilable à celle de la gérance externe confiée à un tiers mais qui est plus proche d’une délégation de pouvoirs au sein de la corporation de droit public. Il en découle que la représentation de l’intimée par le Service financier de la Commune de [...] ne constitue pas une violation des art. 68 CPC et 36 al. 2 CDPJ. Au demeurant, une telle représentation n’apparaît pas comme une représentation à titre professionnel, dès lors qu’il n’est pas établi que le Service financier de la commune soit prêt à accepter des mandats d’un nombre indéterminé de personnes, ni qu’il agisse contre rémunération de l’intimée. Mal fondé, le moyen doit être rejeté.</w:t>
      </w:r>
    </w:p>
    <w:p>
      <w:r>
        <w:rPr>
          <w:b/>
        </w:rPr>
        <w:t>E. 5</w:t>
      </w:r>
    </w:p>
    <w:p>
      <w:r>
        <w:t>a) Dans un deuxième moyen, l’appelante fait valoir que le premier juge a enfreint l’art. 257d CO. Elle conteste avoir reçu l’avis de retrait du pli recommandé qui la sommait de régler un arriéré de loyer sous peine de recevoir son congé (art. 257d al. 1 CO). Elle allègue une erreur du fonctionnaire de la poste. b) Conformément à la jurisprudence constante du Tribunal fédéral, le fardeau de la preuve de la notification d’un acte et de la date à laquelle celle-ci a été effectuée incombe en principe à celui qui entend en tirer une conséquence juridique (ATF 122 I 97 c. 3b ; ATF 114 III 51 c. 3c et 4). Autrement dit, dans le cas présent, c’est l’intimée qui supporte les conséquences de l’absence de preuve, ce qui signifie que si la notification même, ou sa date, sont contestées et qu’il existe effectivement un doute à ce sujet, il convient de se fonder sur les déclarations du destinataire de l’envoi (ATF 103 V 63 c. 2a). D’après l’art. 257d al. 1 CO, l’avis comminatoire, comportant impérativement une menace expresse de congé, doit impartir au locataire un délai de paiement de 30 jours au moins pour les baux d’habitations. Ce délai court dès le lendemain de la réception de l’avis par le locataire ou dès le lendemain du septième jour du délai postal de garde si le courrier recommandé n’est pas retiré (fiction de la notification, cf. ATF 119 II 147 c. 2 ; Lachat, in Commentaire romand, Bâle 2003, n. 6 ad art. 257d CO). La fiction de la notification à l’échéance du délai de garde suppose en outre qu’un avis de retrait a été déposé dans la boîte aux lettres du destinataire et que ce document soit conséquemment arrivé dans la sphère d’influence de celui-ci (ATF 116 III 59 c. 1b). L’avis de retrait est censé avoir été déposé dans la boîte aux lettres tant qu’il n’y a pas de circonstances propres à retenir un comportement incorrect des agents postaux ; il appartient à celui qui se prévaut de l’irrégularité de la notification, en particulier du défaut de remise dans sa boîte aux lettres d’un avis de retrait après présentation infructueuse, d’en rapporter la preuve (TF 4A_250/2008 du 18 juin 2008 c. 3.2.1 et les réf. citées ; Bohnet, in CPC commenté, n. 20 ad art. 138 CPC ; CREC 28 novembre 2011/225). c) En l’espèce, pour se prémunir contre le risque d’échec de la preuve de la notification, l’intimée a communiqué l’avis comminatoire du 8 septembre 2011 sous pli recommandé, lequel a été retourné par la poste à l’expéditrice avec la mention « non réclamé ». L’appelante ne présente aucun moyen pour faire échec à la fiction de la notification dudit pli à l’échéance du délai postal de garde de sept jours suivant la remise de l’avis d’arrivée dans sa boîte aux lettres, si ce n’est qu’il arrive aux fonctionnaires de la poste de commettre des erreurs. Ce moyen, qui n’est pas fondé sur des circonstances concrètes mais sur des généralités, ne résiste pas à l’examen au vu de la jurisprudence précitée et doit être rejeté.</w:t>
      </w:r>
    </w:p>
    <w:p>
      <w:r>
        <w:rPr>
          <w:b/>
        </w:rPr>
        <w:t>E. 6</w:t>
      </w:r>
    </w:p>
    <w:p>
      <w:r>
        <w:t>a) Dans un troisième moyen, l’appelante fait valoir que le loyer de septembre a été payé dans le délai de trente jours qui lui a été imparti, et ce même si son salaire ne lui est parvenu que tardivement suite à une erreur de son employeur.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 les baux d’habitations ou de locaux commerciaux peuvent être résiliés moyennant un délai de congé minimum de trente jours pour la fin d’un mois (al. 2). L’avis comminatoire doit clairement mentionner, outre l’invitation à payer l’arriéré, le montant de l’arriéré lui-même, pas nécessairement chiffré, mais déterminable de manière certaine, en indiquant notamment les mois du calendrier impayés. Au besoin, l’avis précisera un décompte détaillé des loyers en souffrance (cf. Lachat, Le bail à loyer, p. 666 ; Wessner, in Droit du bail à loyer, commentaire, Bâle 2010, n. 17 ad art. 257d CO et les réf. citées). La jurisprudence a précisé que, lorsque le locataire n’avait pas réglé l’arriéré réclamé dans le délai comminatoire prévu à l’art. 257d al. 1 CO, il était en demeure et devait subir les conséquences juridiques de l’art. 257d al. 2 CO, à savoir la résiliation du bail moyennant un délai de congé de trente jours (ATF 127 III 548 c. 4), cela même si l’arriéré avait finalement été payé (TF arrêt du 27 février 1997, in Cahiers du Bail 1997, pp. 65 ss ; CACI 7 juin 2011/105 c. 3). c) En l’espèce, l’avis comminatoire, par lequel un montant de 2'450 fr. à titre d’arriéré de loyers et provisions pour charges pour les périodes de juin et septembre 2011 a été réclamé, a été notifié par fiction le 20 septembre 2011. L’appelante a produit des récépissés postaux attestant de différents versements pour un montant total de 2'450 fr., dont 650 fr. ont été payés après le 20 octobre 2011, soit après l’échéance de l’avis comminatoire. Les conditions d’application de l’art. 257d al. 2 CO sont dès lors réunies et le bail a été valablement résilié. Mal fondé, le moyen doit être rejeté.</w:t>
      </w:r>
    </w:p>
    <w:p>
      <w:r>
        <w:rPr>
          <w:b/>
        </w:rPr>
        <w:t>E. 7</w:t>
      </w:r>
    </w:p>
    <w:p>
      <w:r>
        <w:t>En conclusion, l’appel doit être rejeté en application de l’art. 312 al. 1 CPC et l’ordonnance confirmée. Vu l’effet suspensif légal conféré à l’appel (art. 315 al. 1 CPC), la cause doit être renvoyée au premier juge afin qu’il fixe un nouveau délai à l’appelante pour libérer l’appartement qu’elle occupe, une fois les considérants écrits du présent arrêt envoyés pour notification aux parties. Vu l’octroi à l’appelante de l’assistance judiciaire (cf. infra c. 8), les frais judiciaires de deuxième instance, arrêtés à 200 fr. (art. 62 al. 3 TFJC [Tarif des frais judiciaires civils du 28 septembre 2010, RSV 270.11.5]), sont laissés à la charge de l’Etat. Il n’y a pas matière à l’allocation de dépens de deuxième instance, l’intimée n’ayant pas été invitée à se déterminer sur l’appel.</w:t>
      </w:r>
    </w:p>
    <w:p>
      <w:r>
        <w:rPr>
          <w:b/>
        </w:rPr>
        <w:t>E. 8</w:t>
      </w:r>
    </w:p>
    <w:p>
      <w:r>
        <w:t>Compte tenu de la situation financière de l’appelante et du fait que l’appel n’était pas dépourvu d’emblée de toute chance de succès, il y a lieu d’admettre sa requête d’assistance judiciaire, Mme Geneviève Gehring, agent d’affaires brevetée, étant désignée conseil d’office. Il se justifie toutefois d’astreindre l’appelante à payer une franchise mensuelle de 50 fr. à partir du 1 er mai 2012. Le conseil d’office de l’appelante a déposé, le 12 avril 2012, une liste des opérations dont il ressort qu’il a consacré environ six heures à la procédure d’appel, ce qui apparaît justifié vu l’ampleur du litige et le travail accompli. Au tarif horaire de 140 fr. (art. 2 RAJ [Règlement sur l’assistance judiciaire en matière civile du 7 décembre 2010, RSV 211.02.3]), l’indemnité d’honoraires doit être fixée à 907 fr. 20, TVA comprise. S’agissant des débours, c’est un montant forfaitaire de 50 fr. qui sera alloué (art. 3 al. 3 RAJ). L’indemnité d’office du conseil de l’appelante doit ainsi être fixée à 957 fr. 20. Dans la mesure de l’art. 123 CPC, la bénéficiaire de l’assistance judiciaire est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