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270 vom 3. Mai 2012</w:t>
      </w:r>
    </w:p>
    <w:p>
      <w:r>
        <w:t>VD Tribunal cantonal, 2012-05-03, FR</w:t>
      </w:r>
    </w:p>
    <w:p>
      <w:r>
        <w:rPr>
          <w:b/>
        </w:rPr>
        <w:t xml:space="preserve">Quelle: </w:t>
      </w:r>
      <w:r>
        <w:t>https://mcp.opencaselaw.ch/entscheid/vd_findinfo_HC___2012___270</w:t>
      </w:r>
    </w:p>
    <w:p>
      <w:r>
        <w:t>FR: VD_FINDINFO HC / 2012 / 270 du 3 mai 2012</w:t>
      </w:r>
    </w:p>
    <w:p>
      <w:r>
        <w:t>IT: VD_FINDINFO HC / 2012 / 270 del 3 maggio 2012</w:t>
      </w:r>
    </w:p>
    <w:p>
      <w:pPr>
        <w:pStyle w:val="Heading2"/>
      </w:pPr>
      <w:r>
        <w:t>Regeste</w:t>
      </w:r>
    </w:p>
    <w:p>
      <w:r>
        <w:t>ACTION EN MODIFICATION, DIVORCE, MESURE PROVISIONNELLE, RETRAIT DE L'AUTORITÉ PARENTALE, CURATELLE ÉDUCATIVE, OBLIGATION D'ENTRETIEN, RELATIONS PERSONNELLES | 134 CC, 308 al. 1 CC, 308 al. 2 CC, 311 CC, 276 al. 1 CPC (CH)</w:t>
      </w:r>
    </w:p>
    <w:p>
      <w:pPr>
        <w:pStyle w:val="Heading2"/>
      </w:pPr>
      <w:r>
        <w:t>Erwägungen</w:t>
      </w:r>
    </w:p>
    <w:p>
      <w:r>
        <w:rPr>
          <w:b/>
        </w:rPr>
        <w:t>E. 1</w:t>
      </w:r>
    </w:p>
    <w:p>
      <w:r>
        <w:t>CC est confirmé.</w:t>
      </w:r>
    </w:p>
    <w:p>
      <w:r>
        <w:rPr>
          <w:b/>
        </w:rPr>
        <w:t>E. 2</w:t>
      </w:r>
    </w:p>
    <w:p>
      <w:r>
        <w:t>Par demande du 29 septembre 2009, le requérant a conclu, avec suite de frais et dépens, à la modification du jugement de divorce en ce sens que, dès le 1 er septembre 2009, il contribuerait à l'entretien de ses enfants [...] et [...] par le régulier versement pour chacun d’eux d’une pension mensuelle, allocations familiales non comprises et dues en sus, de 730 fr. jusqu’à ce que l’enfant ait atteint l’âge de dix ans révolus, 800 fr. dès lors et jusqu’à ce que l’enfant ait atteint l’âge de quatorze ans révolus, et 880 fr. dès lors et jusqu’à la majorité de l’enfant ou jusqu’au terme de sa formation professionnelle. Dans sa réponse du 13 janvier 2010, l'intimée a conclu, avec suite de frais et dépens, au rejet de la demande et, reconventionnellement, à la modification du jugement de divorce en ce sens que le requérant s'acquitterait de la moitié des frais d'orthodontie, de dentiste et autres activités parascolaires. Par ordonnance du 19 avril 2010, le premier juge a rejeté la requête de mesures provisionnelles formée le 17 décembre 2009 par le requérant, dont les conclusions étaient les mêmes que celles de sa demande en modification de jugement de divorce du 29 septembre 2009. Par requête de mesures provisionnelles et préprovisionnelles d’extrême urgence du 14 octobre 2010, Me Cacciatore, représentant les enfants [...] et [...], a conclu à la suspension avec effet immédiat de tout droit de visite du requérant sur ses enfants, à ce qu'interdiction lui soit faite, sous menace de la peine prévue par l'art. 292 CP, de prendre contact par n’importe quel moyen que ce soit et de s’approcher à moins de deux cents mètres des enfants. Par ordonnance du 15 octobre 2010, le premier juge a fait droit à la requête de mesures préprovisionnelles d’extrême urgence et nommé provisoirement Me Cacciatore en qualité de curatrice des enfants précités. Lors de l'audience de mesures provisionnelles du 29 novembre 2010, les parties ont signé une convention, ratifiée séance tenante par le premier juge pour valoir ordonnance de mesures provisionnelles, aux termes de laquelle elles se sont notamment entendues pour dire que la reprise des relations personnelles des enfants [...] et [...] avec leur père devrait se faire progressivement, d'abord par le biais d'un thérapeute (I), que le SPJ prendrait les contacts nécessaires afin de proposer un thérapeute susceptible d’effectuer ce travail (Il) et que, dans l’attente de la mise en place de ces consultations, la présente procédure était suspendue, étant précisé que formellement le droit de visite du requérant restait suspendu en tant que tel et que la curatrice des enfants retirait sa conclusion en interdiction pour le requérant de prendre contact avec ses enfants (III). Par décision du 1 er décembre 2010, la Justice de paix du district de Nyon a désigné Me Cacciatore en qualité de curatrice de représentation au sens de l'art. 146 CC des enfants [...] et [...] avec pour mission de les représenter dans le cadre de la procédure en modification du jugement de divorce.</w:t>
      </w:r>
    </w:p>
    <w:p>
      <w:r>
        <w:rPr>
          <w:b/>
        </w:rPr>
        <w:t>E. 3</w:t>
      </w:r>
    </w:p>
    <w:p>
      <w:r>
        <w:t>a) L'appelant conclut en premier lieu à ce que l'autorité parentale sur les enfants [...] et [...] soit retirée à leur mère et confiée au SPJ. Il se plaint en substance d'une rupture des relations personnelles avec ses enfants qu'il impute à l'attitude de l'intimée. b) La modification d'un jugement de divorce sur la question du sort des enfants est régie par l'art. 134 CC (art. 284 al. 1 CPC). Aux termes de l'art. 284 al. 3 CPC, la procédure de divorce sur requête unilatérale s’applique par analogie à la procédure contentieuse de modification. Le Code de procédure civile ne règle pas expressément la question des mesures provisionnelles dans le cadre d'une telle procédure. Toutefois, en tant que disposition générale de la procédure de divorce (art. 271 ss CPC), l'art. 276 CPC relatif aux mesures provisionnelles devrait également s'appliquer par analogie dans le cadre d'une procédure en modification de jugement de divorce (Sutter-Somm/Seiler, in Sutter-Somm/Hasenböhler/Leuenberger Kommentar zur Schweizerischen Zivilprozessordnung, Zurich 2010, n. 32 ad art. 284 CPC, p. 1671 s.; van der Graaf, in Kurzkommentar ZPO, Bâle 2010, n. 6 ad art. 284 CPC, p. 1099; Siehr, in Basler Kommentar, Bâle 2010, n. 8 ad art. 284 CPC, p. 1384; Schwenzer, FamKomm Scheidung, Band I: ZGB, Berne 2011, n. 52 ad art. 129 CC, p. 318; contra Tappy, CPC commenté, Bâle 2011, n. 8 ad art. 276 CPC, p. 1088, qui considère que les procédures en divorce et en modification de divorce présentent des différences telles qu'il serait plus satisfaisant de soumettre les mesures provisionnelles requises en cas de modification du jugement de divorce aux règles ordinaires concernant la protection provisionnelle, notamment les art. 261 ss CPC). Quoi qu'il en soit, la jurisprudence antérieure à l'entrée en vigueur du Code de procédure civile reste inchangée. Selon celle-ci, les mesures provisionnelles requises dans le cadre d'un procès en modification du jugement de divorce ne sont admises qu'en cas d'urgence et en présence de circonstances particulières (ATF 118 II 228 c. 3b et les arrêts cités; Tappy, op. cit., n. 8 ad art. 276 CPC, p. 1088). Aux termes des art. 134 al. 3 2 ème phrase et 315b al. 1 ch. 2 CC, le juge matrimonial est compétent pour statuer sur une modification litigieuse de l'attribution de l'autorité parentale (Meier, in Commentaire romand, Bâle 2010, n. 28 ad art. 315 à 315b CC, p. 1956). Par attraction de compétence, il est également compétent pour statuer sur le prononcé ou la modification de mesures de protection (Meier, op. cit., n. 31 ad art. 315 à 315b CC, p. 1958). Selon l'art. 311 al. 1 CC, le retrait de l'autorité parentale est prononcé, lorsque d'autres mesures de protection de l'enfant sont demeurées sans résultat ou paraissent d'emblée insuffisantes,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Selon la jurisprudence,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sont d'emblée insuffisantes. Le principe de la proportionnalité de l'intervention commande une attention particulière (TF 5C.284/2005 du 31 janvier 2006 c. 3.1; ATF 119 II 9 c. 4a et les références citées). Lorsque les parents n'arrivent pas à remplir leurs devoirs découlant des art. 301 à 306 CC, il suffit de leur retirer la garde de l'enfant; pour le retrait de l'autorité parentale, il faut en revanche un motif supplémentaire, tel qu'une maladie psychique, une infirmité, une faiblesse intellectuelle ou l'incapacité de participer à l'éducation donnée à l'enfant par des tiers en raison d'absence sans possibilités de contacts réguliers (TF 5C.284/2005 du 31 janvier 2006 c. 3.1). c) En l'espèce, l'autorité parentale et la garde sur les enfants [...] et [...] ont été confiées à l'intimée par jugement de divorce du 30 juillet 2008. Lors de l'audience d'appel, l'intimée a déclaré que les deux enfants se portaient bien tant sur plan scolaire, que sur le plan social et familial. Tous deux sont suivis, l'aîné de manière ponctuelle par un psychiatre et le cadet régulièrement tous les quinze jours par un psychologue. L'appelant et Me Cacciatore, curatrice des enfants, ont confirmé le tableau de la situation dressé par l'intimée. Il ressort également des déterminations du 27 mars 2012 du SPJ que les deux enfants vont bien en dépit de l'absence de relations personnelles avec leur père et qu'ils ne sont pas mis en danger dans leur développement. Au regard de ce qui précède, il est manifeste que les conditions permettant de prononcer un retrait de l'autorité parentale ne sont pas réalisées en l'espèce. L'appelant n'allègue, ni ne démontre que l'intimée ne serait pas ou plus en mesure d'exercer correctement l'autorité parentale en raison de l'un des motifs énoncés par l'art. 311 al. 1 ch. 1 CC, pas plus qu'elle ne se serait pas souciée d'eux. De même, il n'établit pas que d'autres mesures de protection sont demeurées sans résultat ou semblent d'emblée insuffisantes. Le moyen de l'appelant doit par conséquent être rejeté. d) Dès lors que l'objectif visé par l'appelant consiste en un rétablissement des relations personnelles avec ses deux enfants, la question se pose de savoir si le rétablissement du mandat de curateur au sens des art. 308 al. 1 et 2 CC du SPJ sur les enfants [...] et [...] serait à même d'atteindre ce but. S'agissant de la mesure prévue par l'art. 308 al. 1 CC, se fondant sur le constat du SPJ selon lequel aucune action socio-éducative n'avait pu être mise en place depuis mai 2010 afin d'améliorer le dialogue entre les deux parents et sur le fait que les deux enfants étaient désormais suivis par un thérapeute, le premier juge a considéré que la curatelle d'assistance éducative au sens de l'art. 308 al. 1 CC confiée au SPJ n'avait plus de raison d'être. Dans un arrêt antérieur du 17 février 2011, la Chambre des tutelles du Tribunal cantonal avait maintenu la mesure de curatelle éducative en faveur des enfants [...] et [...] et confirmé le SPJ dans son mandat de curateur au sens de l'art. 308 al. 1 CC. En substance, cette autorité avait relevé que le conflit entre les parents était encore bien présent, qu'il perturbait l'exercice du droit de visite et était de nature à menacer le développement des enfants. La Chambre des tutelles avait notamment souligné que le SPJ ne pouvait prétendre obtenir la levée de cette mesure de protection pour le motif que la mère des deux enfants s'opposait à toute collaboration, l'ayant ainsi empêché de mettre en place toute action socio-éducative. L'art. 308 al. 1 CC dispose que lorsque les circonstances l'exigent, l'autorité tutélaire nomme à l'enfant un curateur qui assiste les père et mère de ses conseils et de son appui dans le soin de l'enfant. La curatelle éducative au sens de l'art. 308 CC va plus loin que la simple surveillance de l'éducation au sens de l'art. 307 al. 3 CC, en ce sens que le curateur ne se borne pas à exercer une surveillance, mais intervient lui-même activement. L'institution d'une telle curatelle suppose d'abord, comme pour toute mesure protectrice (cf. art. 307 al. 1 CC), que le développement de l'enfant soit menacé, que ce danger ne puisse être prévenu par les père et mère eux-mêmes (cf. art. 307 al. 1 CC) ni par les mesures plus limitées de l'art. 307 CC (principe de subsidiarité) et que l'intervention active d'un conseiller apparaisse appropriée pour atteindre ce but (principe de l'adéquation) (TF 5A_840/2010 du 31 mai 2011 c. 3.1). En l'espèce, il ressort des considérations qui précèdent (cf. ci-dessus c. 3c) que les enfants ne sont pas en péril et que leur développement n'est pas menacé par la situation actuelle. Un conflit entre les parents est encore présent; le bien-être corporel, intellectuel et moral des enfants n'est cependant pas pour autant compromis. Comme cela a été déclaré à l'audience d'appel non seulement par l'intimée et la curatrice des enfants, mais également par l'appelant lui-même, les enfants se portent bien tant dans le contexte scolaire qu'en dehors. Ils ne présentent pas de difficultés particulières, leur situation est stable et leur prise en charge par l'intimée semble adéquate. Par ailleurs et comme l'a relevé le premier juge, ils sont suivis par un thérapeute qui permet d'assurer un certain regard sur leur évolution. En définitive, la solution du premier juge mettant provisoirement fin au mandat de curateur du SPJ au sens de l'art. 308 al. 1 CC doit être confirmée. Pour ce qui est de la mesure de curatelle de surveillance des relations personnelles au sens de l'art. 308 al. 2 CC, le premier juge a également considéré qu'il convenait de mettre un terme provisoire au mandat du SPJ, dès lors qu'une telle mesure ne pouvait objectivement plus être exercée en l'absence d'une reprise du droit de visite. Ce point de vue doit être confirmé. Il ressort en effet du procès-verbal de l'audience du 25 janvier 2012 que les parties sont convenues que la reprise des relations personnelles de l'appelant avec ses enfants serait envisagée à l'issue de l'expertise psychiatrique de l'appelant. Le droit de visite n'étant plus exercé dans l'intervalle, il se justifie de mettre fin à titre provisoire au mandat du SPJ.</w:t>
      </w:r>
    </w:p>
    <w:p>
      <w:r>
        <w:rPr>
          <w:b/>
        </w:rPr>
        <w:t>E. 4</w:t>
      </w:r>
    </w:p>
    <w:p>
      <w:r>
        <w:t>a) L'appelant reproche ensuite au premier juge de lui avoir imputé un revenu hypothétique de 6'200 francs. En substance, il fait valoir qu'il a effectué les recherches d'emploi que l'on pouvait attendre de lui et que c'est en raison de son double handicap, soit son âge et l'absence d'équivalence entre ses titres académiques français et ceux exigés par l'enseignement public, qu'il ne parvient pas à trouver une activité lui assurant les mêmes revenus qu'auparavant. b) S'agissant de mesures provisionnelles requises dans le cadre d'une action en modification de divorce, elles ne peuvent être admises, conformément à la jurisprudence et la doctrine précitées, qu'en cas d'urgence et de manière restrictive (cf. ci-dessus c. 3b).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 118 c. 2.3) – que l'on peut raisonnablement exiger d’elle afin de remplir ses obligations (ATF 128 III 4 c. 4a; TF 5A_290/2010 du 28 octobre 2010 c. 3.1, publié in SJ 2011 I 177). Ainsi, le juge doit examiner successivement les deux conditions suivantes. Tout d’abord, il doit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 second lieu,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ATF 126 III 10 c. 2b). c) A ce jour, l'appelant réalise un gain mensuel net de 1'306 fr. 85 pour son activité auprès de l'Ecole [...], auquel s'ajoute ses indemnités de chômage lui assurant un revenu mensuel net de 3'723 fr. 70. Le premier juge a retenu qu'en l'état, l'appelant n'avait effectué des recherches d'emploi qu'au niveau de l'enseignement post-obligatoire. Il a considéré qu'il pourrait également chercher un travail d'enseignant au niveau du secondaire obligatoire et s'inscrire sur la liste des remplaçants des écoles vaudoises, qui souffrent d’une pénurie d’enseignants. Le premier juge a également estimé qu'au regard de la formation de l'appelant en sciences économiques, économie publique et planification ainsi qu’en administration et gestion publique, ses recherches ne devraient pas se limiter à l’enseignement. Au contraire, il pourrait les élargir en postulant dans le domaine fiduciaire ou de l’import-export par exemple. Compte tenu de ces éléments, le premier juge a constaté que l'appelant n'avait pas effectué tout ce que l'on pouvait exiger de lui pour retrouver un emploi stable, si bien qu'il se justifiait de lui imputer un revenu hypothétique. Ce point de vue doit être confirmé. En effet, comme cela ressort de ses déclarations lors de l'audience d'appel, l'appelant refuse de s'inscrire sur des listes de remplaçants et n'envisage pas d'enseigner d'autres branches que les siennes, quand bien même il admet que ses branches ne sont pas beaucoup enseignées, pour conserver une certaine crédibilité. De même, il n'effectue aucune démarche en dehors de l'enseignement en dépit des titres dont il dispose. Dans ce contexte, force est d'admettre que l'appelant ne fait pas tout ce que l'on pourrait attendre de lui afin de trouver une nouvelle activité lucrative et qu'il y a lieu de lui imputer un revenu hypothétique. Le premier juge a considéré qu'au regard des circonstances, des règles restrictives applicables en matière de mesures provisionnelles dans le cadre d'une action en modification de jugement de divorce et afin de protéger les intérêts des enfants, il se justifiait d’imputer à l'appelant un revenu hypothétique de 6'200 francs. Là encore l'appréciation du premier juge doit être confirmée compte tenu de l'âge de l'appelant, de sa formation et du marché actuel de l'enseignement. Un tel revenu peut sans autres être obtenu dans l'enseignement public ou privé, au niveau du secondaire, pour un emploi à plein temps. L'appelant étant dès lors en mesure d'assumer tant ses charges mensuelles essentielles, qui s'élèvent à 3'898 fr. 15, que l'entretien mensuel de ses deux enfants, soit 2'300 fr. au total, son moyen doit être rejeté.</w:t>
      </w:r>
    </w:p>
    <w:p>
      <w:r>
        <w:rPr>
          <w:b/>
        </w:rPr>
        <w:t>E. 5</w:t>
      </w:r>
    </w:p>
    <w:p>
      <w:r>
        <w:t>En définitive, l'appel doit être rejeté et l'ordonnance entreprise confirmée. Les frais judiciaires de deuxième instance, arrêtés à 600 fr. (art. 65 al. 2 TFJC [Tarif des frais judiciaires civils du 28 septembre 2010; RSV 270.11.5]), sont laissés à la charge de l'Etat, vu l'assistance judiciaire accordée à l'appelant (art. 106 al. 1 et 122 al. 1 let. b CPC). L'appelant doit verser à l'intimée, qui obtient gain de cause, la somme de 2'300 fr. à titre de dépens de deuxième instance (art. 2 al. 1, 3 et 9 al. 2 TDC [Tarif des dépens en matière civile du 23 novembre 2010; RSV 270.11.6]).</w:t>
      </w:r>
    </w:p>
    <w:p>
      <w:r>
        <w:rPr>
          <w:b/>
        </w:rPr>
        <w:t>E. 6</w:t>
      </w:r>
    </w:p>
    <w:p>
      <w:r>
        <w:t>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Compte tenu de la liste des opérations adressée par le conseil de l'appelant, il y a lieu d'admettre que celui-ci a consacré un total de quinze heures à sa mission. Au tarif horaire de 180 fr., l'indemnité de Me Olivier Flattet doit être fixée à 2'700 fr., montant auquel il convient d'ajouter la TVA par 216 fr., soit au total 2'916 francs. S'agissant du conseil de l'intimée, il y a lieu, au regard de la liste des opérations qu'elle a produite, d'admettre un total de onze heures effectuées. Au tarif horaire de 180 fr., l'indemnité de Me Manuela Ryter Godel doit être fixée à 1'980 fr., montant auquel il convient d'ajouter 12 fr. de débours et la TVA sur le tout par 159 fr. 35, soit au total 2'151 fr. 35. Les bénéficiaires de l’assistance judiciaire sont tenus, dans la mesure de l’art. 123 CPC, au remboursement des frais judiciaires et de l’indemnité à leur conseil d’office mis à la charge de l’Etat. Par ces motifs, le juge délégué de la Cour d’appel civile du Tribunal cantonal, statuant à huis clos, prononce : I. L'appel est rejeté. II. L'ordonnance est confirmée. III. Les frais judiciaires de deuxième instance, arrêtés à 600 fr. (six cents francs), pour l'appelant sont laissés à la charge de l'Etat. IV. L'indemnité d'office de Me Olivier Flattet, conseil de l'appelant A.B.________, est arrêtée à 2'916 fr. (deux mille neuf cent seize francs), TVA comprise. V. L'indemnité d'office de Me Manuela Ryter Godel, conseil de l'intimée B.B.________, est arrêtée à 2'151 fr. 35 (deux mille cent cinquante et un francs et trente-cinq centimes), TVA et débours compris. VI. Les bénéficiaires de l'assistance judiciaire sont, dans la mesure de l'art. 123 CPC, tenus au remboursement des frais judiciaires et de l'indemnité au conseil d'office mis à la charge de l'Etat. VII. L'appelant A.B.________ doit verser à l'intimée B.B.________ la somme de 2'300 fr. (deux mille trois cents francs) à titre de dépens de deuxième instance. VIII. L'arrêt motivé est exécutoire. Le juge délégué : La greffière : Du L'arrêt qui précède, dont la rédaction a été approuvée à huis clos, est notifié en expédition complète, par l'envoi de photocopies à : ‑ Me Olivier Flattet (pour A.B.________), ‑ Me Manuela Ryter Godel (pour B.B.________), - Me Stéphanie Cacciatore (pour [...] et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