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269 vom 24. April 2012</w:t>
      </w:r>
    </w:p>
    <w:p>
      <w:r>
        <w:t>VD Tribunal cantonal, 2012-04-24, FR</w:t>
      </w:r>
    </w:p>
    <w:p>
      <w:r>
        <w:rPr>
          <w:b/>
        </w:rPr>
        <w:t xml:space="preserve">Quelle: </w:t>
      </w:r>
      <w:r>
        <w:t>https://mcp.opencaselaw.ch/entscheid/vd_findinfo_HC___2012___269</w:t>
      </w:r>
    </w:p>
    <w:p>
      <w:r>
        <w:t>FR: VD_FINDINFO HC / 2012 / 269 du 24 avril 2012</w:t>
      </w:r>
    </w:p>
    <w:p>
      <w:r>
        <w:t>IT: VD_FINDINFO HC / 2012 / 269 del 24 aprile 2012</w:t>
      </w:r>
    </w:p>
    <w:p>
      <w:pPr>
        <w:pStyle w:val="Heading2"/>
      </w:pPr>
      <w:r>
        <w:t>Regeste</w:t>
      </w:r>
    </w:p>
    <w:p>
      <w:r>
        <w:t>INDEMNITÉ{EN GÉNÉRAL}, ASSISTANCE JUDICIAIRE | 122 al. 1 let. a CPC (CH), 2 al. 1 RAJ</w:t>
      </w:r>
    </w:p>
    <w:p>
      <w:pPr>
        <w:pStyle w:val="Heading2"/>
      </w:pPr>
      <w:r>
        <w:t>Erwägungen</w:t>
      </w:r>
    </w:p>
    <w:p>
      <w:r>
        <w:rPr>
          <w:b/>
        </w:rPr>
        <w:t>E. 1</w:t>
      </w:r>
    </w:p>
    <w:p>
      <w:r>
        <w:t>let. a CPC (Tappy, CPC commenté, Bâle 2012, n. 22 ad art. 122 CPC, p. 503). c) En l'espèce, déposé en temps utile par une partie qui y a intérêt, le recours est recevable. 2.             a) Le recours est recevable pour violation du droit et constatation manifestement inexacte des faits (art. 320 CPC). S'agissant de la violation du droit, l'autorité de recours dispose d'un plein pouvoir d'examen (Spühler, Basler Kommentar, Bâle 2010, n. 12 ad art. 319 CPC, p. 1504);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(Jeandin, CPC commenté, Bâle 2011, nn. 5 et 6 ad art. 320 CPC, p. 1276;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b) Le recours déploie avant tout un effet cassatoire; toutefois lorsque l’instance supérieure admet le recours et constate que la cause est en état d’être jugée, elle rend une nouvelle décision (art. 327 al. 3 let. b CPC). Dans ce cas, le recours déploie un effet réformatoire (Jeandin, op. cit., n. 6 ad art. 327 CPC, p. 1287).</w:t>
      </w:r>
    </w:p>
    <w:p>
      <w:r>
        <w:rPr>
          <w:b/>
        </w:rPr>
        <w:t>E. 3</w:t>
      </w:r>
    </w:p>
    <w:p>
      <w:r>
        <w:t>a) Dans une motivation lapidaire, le recourant paraît se plaindre de la qualité du travail accompli par son conseil d’office, qu’il qualifie de très « molle » et qui aurait mal défendu ses intérêts. Il relève en outre que, le lendemain du jour où ce conseil a demandé à être relevée de son mandat d’office, elle rejoignait, en qualité d'associée, l’Etude de Me [...], laquelle se trouve être précisément le conseil de sa partie adverse. b) L'art. 2 al. 1 RAJ (règlement du 7 décembre 2010 sur l'assistance judiciaire en matière civile; RSV 211.02.3) prévoit que le conseil juridique commis d'office a droit au remboursement de ses débours et à un défraiement équitable - se référant à cet égard à l'art. 122 al. 1 let. a CPC selon lequel les cantons rémunèrent équitablement le conseil juridique commis d'office - qui est fixé en considération de l'importance de la cause, de ses difficultés, de l'ampleur du travail et du temps consacré. Cette disposition codifie la jurisprudence antérieure rendue sous l'empire de l'ancienne loi sur l'assistance judiciaire. Pour fixer la quotité de l'indemnité du conseil d'office, l'autorité cantonale doit s'inspirer des critères applicables à la modération des honoraires d'avocat (arrêt du TF non publié B. du 24 avril 1997; ATF 122 I 1 c. 3a; arrêt du TF non publié C. du 9 novembre 1988). Elle doit tenir compte de la nature et de l'importance de la cause, des difficultés spéciales qu'elle peut présenter en fait et en droit, du temps que l'avocat lui a consacré, de la qualité de son travail, du nombre de conférences, audiences et instances auxquelles il a pris part, du résultat obtenu et de la responsabilité qu'il a assumée (ATF 109 la 107 c. 3b; 117 la 22 c. 3a).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 3a précité; 117 Ia 22 précité c. 4c et les réf. citées).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(TF 5P_462/2002 du 30 janvier 2003; CREC 9 juin 2011/80) ou relevant de l'aide sociale (CREC 8 août 2011/22). Comme en matière de modération, le juge de l’assistance judiciaire n’a pas à trancher le point de fond de savoir si l'avocat a bien exécuté son mandat, une violation éventuelle des obligations contractuelles de l'avocat relevant du seul juge civil ordinaire, mais doit se borner à taxer les opérations portées en compte au regard des prestations effectivement fournies par l'avocat (JT 1990 III 66 c. 2a; CREC lI 14 juin 2010/117 ;CREC II 8 octobre 2009/198). Il n’a donc pas la compétence d’examiner les griefs de droit matériel, mais doit uniquement décider si les honoraires réclamés sont proportionnés aux services rendus. Ce fractionnement des compétences en la matière est admis par le Tribunal fédéral et la doctrine (TF 4P.131/2004 du 28 septembre 2004 c. 2 et réf. citées ; Bohnet/Martenet, Droit de la profession d'avocat, Berne 2009, n° 3002, pp. 1184-1185). c) En l’espèce, le premier juge a examiné l’ensemble des opérations accomplies par Me R.________ pour la période du 5 mai 2011 au 25 janvier 2012. Sur les 22 heures d’activité annoncées par l’avocate, il en a admis 20, expliquant de manière convaincante les raisons pour lesquelles il traitait différemment les deux heures restantes, consacrées à un déplacement à la Vallée de Joux. Son appréciation est adéquate et doit être confirmée. D’ailleurs, le recourant, sous réserve de la question du temps consacré au déplacement en question, ne conteste pas le nombre d’heures annoncées, mais seulement la qualité du travail accompli. Or, les reproches exprimés à ce sujet ne sont pas relevants, pour les motifs exposés ci-dessus (c. 3b in fine) au sujet du pouvoir d’examen en matière de griefs relevant de la qualité. De tels griefs sont irrecevables dans le cadre de la présente procédure de recours. Il en va de même des trois dernières conclusions prises par le recourant, dont l’objet ne ressort pas de la compétence de la Chambre des recours civile.</w:t>
      </w:r>
    </w:p>
    <w:p>
      <w:r>
        <w:rPr>
          <w:b/>
        </w:rPr>
        <w:t>E. 4</w:t>
      </w:r>
    </w:p>
    <w:p>
      <w:r>
        <w:t>En définitive, le recours doit être rejeté en application de l'art. 322 al. 1 CPC, dans la mesure où il est recevable. Les frais judiciaires de deuxième instance, arrêtés à 200 fr. (art. 75 TFJC [tarif des frais judiciaires civils du 28 septembre 2010; RSV 270.11.5] par analogie), doivent être mis à la charge du recourant qui succombe (art. 106 al. 1 CPC ; ATF 137 III 370 c.6.5) et qui, de ce fait, doit se voir refuser l’assistance judiciaire (art. 117 let. b CPC). Il n’y a pas matière à l’allocation de dépens de deuxième instance, l’intimée n’ayant pas été invitée à se déterminer. Par ces motifs, la Chambre des recours civile du Tribunal cantonal, statuant à huis clos, en application de l'art. 322 al. 1 CPC, prononce : I. Le recours est rejeté, dans la mesure où il est recevable. II. Le prononcé est confirmé. III. La requête d'assistance judiciaire du recourant est rejetée. IV. Les frais judiciaires de deuxième instance, arrêtés à 200 fr. (deux cents francs), sont mis à la charge du recourant Y.________. V. L'arrêt motivé est exécutoire. Le président :               Le greffier : Du 25 avril 2011 Le dispositif de l'arrêt qui précède est communiqué par écrit aux intéressés. Le greffier : Du L'arrêt qui précède, dont la rédaction a été approuvée à huis clos, est notifié en expédition complète, par l'envoi de photocopies, à : ‑ Me Laurent Gilliard (pour Y.________), ‑ Me R.________ La Chambre des recours civile considère que la valeur litigieuse est de 3'913 francs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