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259 vom 8. März 2012</w:t>
      </w:r>
    </w:p>
    <w:p>
      <w:r>
        <w:t>VD Tribunal cantonal, 2012-03-08, FR</w:t>
      </w:r>
    </w:p>
    <w:p>
      <w:r>
        <w:rPr>
          <w:b/>
        </w:rPr>
        <w:t xml:space="preserve">Quelle: </w:t>
      </w:r>
      <w:r>
        <w:t>https://mcp.opencaselaw.ch/entscheid/vd_findinfo_HC___2012___259</w:t>
      </w:r>
    </w:p>
    <w:p>
      <w:r>
        <w:t>FR: VD_FINDINFO HC / 2012 / 259 du 8 mars 2012</w:t>
      </w:r>
    </w:p>
    <w:p>
      <w:r>
        <w:t>IT: VD_FINDINFO HC / 2012 / 259 del 8 marzo 2012</w:t>
      </w:r>
    </w:p>
    <w:p>
      <w:pPr>
        <w:pStyle w:val="Heading2"/>
      </w:pPr>
      <w:r>
        <w:t>Regeste</w:t>
      </w:r>
    </w:p>
    <w:p>
      <w:r>
        <w:t>PROTECTION DE L'UNION CONJUGALE, DROIT DE GARDE, ENFANT, OBLIGATION D'ENTRETIEN | 176 al. 1 ch. 1 CC, 176 al. 1 ch. 2 CC, 176 al. 3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p. 121).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et des conclusions patrimoniales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réf.). En l'espèce, l'état de fait du jugement est conforme aux pièces du dossier et aux autres preuves administrées, de sorte que l'autorité d'appel est à même de statuer.</w:t>
      </w:r>
    </w:p>
    <w:p>
      <w:r>
        <w:rPr>
          <w:b/>
        </w:rPr>
        <w:t>E. 3</w:t>
      </w:r>
    </w:p>
    <w:p>
      <w:r>
        <w:t>Dans un premier moyen, l'appelante reproche au premier juge d'avoir provisoirement attribué la garde l'enfant C.L.________ à son père. Elle soutient qu'elle a adhéré à la solution provisoire proposée par l'intimé le temps qu'un prononcé soit rendu et non dans l'attente du rapport du SPJ tel que retenu par le premier juge (cf. prononcé, ch. 7). Cette critique n'est pas pertinente. En effet, le juge du droit de la famille n'est jamais lié par les propositions des parties au sujet de l'attribution de la garde ou de l’autorité parentale des enfants :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(cf. art. 296 CPC). La question à résoudre est donc celle de savoir si le fait de confier la garde à l’intimé plutôt qu’à l’appelante est conforme aux intérêts de l’enfant, qui seuls comptent. On peut s’inspirer des principes posés par la jurisprudence et la doctrine en matière de divorce qui sont applicables par analogie (Verena Bräm, Zürcher Kommentar, 2 e éd., nn. 89 et 101 ad art. 176 CC cité in TF 5A_693/2007 du 18 février 2008; Chaix, Commentaire Romand, Code civil I, n. 19 ad art. 176 CC).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 5.3; 117 Il 353 c. 3; 115 lI 206 c. 4a et 317 c. 2; FamPra.ch 2006 n° 20 p. 193; FamPra.ch 2008 n° 104 p. 981). La jurisprudence tend à écarter désormais toute préférence naturelle en faveur de la mère, même pour les enfants en bas âge (Leuba/Bastons Bulletti, Commentaire Romand, Code civil I, n. 9 ad art. 133 CC et réf.) ou du moins à accorder à ce critère un caractère très relatif, le critère décisif étant celui de l’aptitude des parents concernés (Meier/Stettler, Droit de la filiation, 4 e éd., n. 452, p. 287). Dans un arrêt récent (TF 5A_602/2011 du 10 novembre 2011), le Tribunal fédéral a rappelé que l’intérêt de l’enfant prime toutes les autres considérations en matière d’attribution du droit de garde. En cas de capacités éducatives équivalentes des père et mère, l’enfant est attribué au parent qui présente les meilleures disponibilités pour s’occuper personnellement de lui. En cas de disponibilités équivalentes des parents, la stabilité de la situation pour l’enfant est déterminante. La solution choisie par le premier juge échappe à la critique. Il convient tout d'abord de rappeler – ce que l'appelante semble oublier – le caractère éminemment provisoire de cette décision qui pourra, cas échéant, être revue dès que le SPJ aura déposé son rapport. Deuxièmement, et cela constitue un élément essentiel de l'examen du droit de garde de l'enfant, l'intérêt actuel de C.L.________ est de pouvoir rester dans un environnement qui lui est familier, à savoir au domicile conjugal sis [...] à Lausanne et que l'intimé occupe seul désormais. En outre, on sait que l’intimé est sans emploi, dans l’attente d'une réponse pour un poste d’assistant à I’EPFL, et qu'il peut ainsi consacrer davantage de temps à son fils que l'appelante, qui travaille à mi-temps et qui, de surcroît, exposerait C.L.________ à d'incessants voyages entre la crèche de Lausanne et le domicile de sa mère à Bavois. Enfin, on note que le droit aux relations personnelles de l’appelante est garanti, dès lors que celle-ci bénéficie d’un droit de visite élargi. La conclusion de l'appelante sur les modalités de visite de l'intimé est par conséquent sans pertinence. Mal fondé, ce moyen doit être rejeté.</w:t>
      </w:r>
    </w:p>
    <w:p>
      <w:r>
        <w:rPr>
          <w:b/>
        </w:rPr>
        <w:t>E. 4</w:t>
      </w:r>
    </w:p>
    <w:p>
      <w:r>
        <w:t>Dans un second argument, sans critiquer les chiffres retenus dans le prononcé attaqué, l’appelante considère qu’elle doit être libérée de toute contribution d’entretien, dès lors que l'intimé n'a pas fait les démarches nécessaires auprès de l'assurance-chômage et que les indemnités à percevoir pourraient être nettement supérieures à son revenu. Il ressort des calculs du premier juge que l’appelante dispose d'un budget excédentaire légèrement supérieur à 150 fr. (2’708 fr. 30 – 2’554 fr.), lequel tient compte d’un loyer de 1'000 fr. qu’elle ne paie pas actuellement puisqu’elle est domiciliée chez sa mère. Le montant de la pension de 200 fr. n’a rien d’inéquitable et doit être confirmé dans son principe et dans sa quotité dès lors que la garde de l’enfant est attribué au père qui doit faire face à des dépenses plus importantes que son épouse et dont le budget est actuellement déficitaire. Cette situation provisoire pourra également être revue sur ce point dès que l’intimé percevra un revenu. On ne saurait à cet égard lui faire grief de ne pas encore avoir touché de prestations de chômage. En effet, outre le fait que l’intimé a postulé sans attendre pour une place d’assistant à I’EPFL, il n’a pas été démenti lorsqu’il a expliqué, lors de l'audience du 10 janvier 2012, qu’il n’avait pas pu procéder aux démarches nécessaires pour toucher les indemnités de chômage, faute d’avoir reçu sa lettre de licenciement. Au demeurant, on ignore les circonstances qui ont présidé à la fin des rapports de travail, lesquelles peuvent influer sur une éventuelle suspension du droit aux indemnités journalières de l'assurance-chômage. Le moyen est dès lors également infondé.</w:t>
      </w:r>
    </w:p>
    <w:p>
      <w:r>
        <w:rPr>
          <w:b/>
        </w:rPr>
        <w:t>E. 5</w:t>
      </w:r>
    </w:p>
    <w:p>
      <w:r>
        <w:t>Il s'ensuit que l'appel doit être rejeté dans la procédure de l'art. 312 al. 1 CPC et la décision attaquée confirmée. Les frais judiciaires de deuxième instance sont arrêtés à 600 fr. (art. 65 al. 2 TFJC [tarif des frais judiciaires civils du 28 septembre 2010; RSV 270.11.5]) et mis à la charge de l'appelante, qui succombe (art. 106 al. 1 CPC). N'ayant pas été invité à se déterminer, l'intimé n’a pas droit à des dépens.</w:t>
      </w:r>
    </w:p>
    <w:p>
      <w:r>
        <w:rPr>
          <w:b/>
        </w:rPr>
        <w:t>E. 6</w:t>
      </w:r>
    </w:p>
    <w:p>
      <w:r>
        <w:t>L'appel étant dépourvu de chances de succès, la requête d'assistance judiciaire doit être rejetée (art. 117 let. b CPC). Par ces motifs, le juge délégué de la Cour d’appel civile du Tribunal cantonal, statuant à huis clos, en application de l'art. 312 al. 1 CPC, prononce : I. L’appel est rejeté. II. Le prononcé est confirmé. III. La requête d'assistance judiciaire est rejetée. IV. Les frais judiciaires de deuxième instance, arrêtés à 600 fr. (six cents francs), sont mis à la charge de l'appelante A.L.________. V. Il n'est pas alloué de dépens de deuxième instance. VI. L'arrêt motivé est exécutoire. Le juge délégué : La greffière : Du 12 mars 2012 Le dispositif de l'arrêt qui précède est communiqué par écrit aux intéressés. La greffière : Du L'arrêt qui précède, dont la rédaction a été approuvée à huis clos, est notifié en expédition complète, par l'envoi de photocopies, à : ‑ Me Véronique Fontana (pour A.L.________) ‑ Me Claude-Alain Boillat (pour B.L.________)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