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245 vom 19. März 2012</w:t>
      </w:r>
    </w:p>
    <w:p>
      <w:r>
        <w:t>VD Tribunal cantonal, 2012-03-19, FR</w:t>
      </w:r>
    </w:p>
    <w:p>
      <w:r>
        <w:rPr>
          <w:b/>
        </w:rPr>
        <w:t xml:space="preserve">Quelle: </w:t>
      </w:r>
      <w:r>
        <w:t>https://mcp.opencaselaw.ch/entscheid/vd_findinfo_HC___2012___245</w:t>
      </w:r>
    </w:p>
    <w:p>
      <w:r>
        <w:t>FR: VD_FINDINFO HC / 2012 / 245 du 19 mars 2012</w:t>
      </w:r>
    </w:p>
    <w:p>
      <w:r>
        <w:t>IT: VD_FINDINFO HC / 2012 / 245 del 19 marzo 2012</w:t>
      </w:r>
    </w:p>
    <w:p>
      <w:pPr>
        <w:pStyle w:val="Heading2"/>
      </w:pPr>
      <w:r>
        <w:t>Regeste</w:t>
      </w:r>
    </w:p>
    <w:p>
      <w:r>
        <w:t>DÉFENSE D'OFFICE, INDEMNITÉ{EN GÉNÉRAL} | 110 CPC (CH), 122 al. 1 let. a CPC (CH)</w:t>
      </w:r>
    </w:p>
    <w:p>
      <w:pPr>
        <w:pStyle w:val="Heading2"/>
      </w:pPr>
      <w:r>
        <w:t>Erwägungen</w:t>
      </w:r>
    </w:p>
    <w:p>
      <w:r>
        <w:rPr>
          <w:b/>
        </w:rPr>
        <w:t>E. 1</w:t>
      </w:r>
    </w:p>
    <w:p>
      <w:r>
        <w:t>a) Le prononcé entrepris ayant été communiqué à la recourante le 27 décembre 2011, le recours est régi par le Code de procédure civile entré en vigueur le 1 er janvier 2011 (art. 405 al. 1 CPC). b) Le recours est recevable contre les autres décisions et ordonnances d’instruction de première instance dans les cas prévus par la loi (art. 319 let. b ch. 1 CPC). En l'espèce, le litige porte sur le montant de l'indemnité allouée au conseil d'office. La question de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p. 503). Cet article prévoyant que la décision sur les frais ne peut être attaquée séparément que par un recours, c'est cette voie de droit qui est ouverte. La rémunération du conseil juridique commis d'office est réglée par l'art. 122 CPC, figurant au chapitre qui règlemente l'assistance judiciaire et qui comprend les art. 117 à 123 CPC. En appliquant par analogie l'art. 119 al. 3 CPC, lequel prévoit la procédure sommaire lorsque le tribunal statue sur la requête d'assistance judiciaire, on en déduit que dite procédure est applicable par analogie lorsque le tribunal statue sur l'indemnité du conseil d'office. Dès lors, le recours s'exerce dans les dix jours (art. 321 al. 2 CPC). 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 d) Formé en temps utile, par une partie qui y a un intérêt digne de protection (art. 59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Bâle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La pièce nouvelle produite à l'appui du recours, soit le courrier adressé le 7 janvier 2012 par la recourante à Me N.________, est irrecevable (art. 326 al. 1 CPC).</w:t>
      </w:r>
    </w:p>
    <w:p>
      <w:r>
        <w:rPr>
          <w:b/>
        </w:rPr>
        <w:t>E. 3</w:t>
      </w:r>
    </w:p>
    <w:p>
      <w:r>
        <w:t>a) La recourante conteste le montant de l'indemnité accordée à son conseil d'office faisant valoir qu'il est exagéré. Elle reproche à son conseil d'office de ne pas l'avoir mise en garde contre la longueur de la procédure et le coût qui en est résulté pour elle. Elle invoque la disproportion entre ses frais d'avocat et l'efficacité des prestations de ce dernier. Elle se prévaut enfin du fait que certaines déclarations de l'expert, qui lui étaient favorables, auraient été ignorées lors de l'audience. b) Le bénéfice de l'assistance judiciaire ayant été accordé à la recourante dans le cadre d'une procédure pendante avant le 1 er janvier 2011, la fixation de l'indemnité de l'avocat désigné d'office est régie par la Loi sur l'assistance judiciaire en matière civile du 24 novembre 1981 (LAJ, abrogée au 1 er janvier 2011) et non par les dispositions du CDPJ (art. 166 al. 2 CDPJ [Code de droit privé judiciaire vaudois du 12 janvier 2010; RSV 211.02]) et du RAJ (Règlement sur l'assistance judiciaire en matière civile du 7 décembre 2010; RSV 211.02.3), auquel renvoie l'art. 39 al. 5 CDPJ en matière de rémunération des conseils d'office. Selon l'art. 17 al. 1 LAJ, les avocats désignés d'office ont droit au remboursement de leurs débours et à des indemnités qui sont fixés par un règlement du Conseil. Pour fixer la quotité de l’indemnité, l’autorité cantonale doit s’inspirer des critères applicables à la modération des honoraires d’avocat (arrêt du TF non publié B. du 24 avril 1997; ATF 122 I 1 c. 3a; arrêt du TF non publié C. du 9 novembre 1988).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(TF 6B_810/2010 du 25 mai 2011 c. 2; ATF 122 I 1 précité c. 3a; ATF 117 la 22 c. 3a; ATF 109 la 107 c. 3b).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précité c. 3a; ATF 117 la 22 précité c.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du bénéficiaire de l'assistance judiciaire ou qui consistent en un soutien moral (TF 5P.462/2002 du 30 janvier 2003; Pdt TC 23 juillet 2001/37). c) En l’espèce, le premier juge a procédé à l'examen de l’ensemble des opérations accomplies par Me N.________ pour la période du 5 mars 2004 au 18 août 2011. Sur les 209 heures d’activité annoncées par l’avocat, il n’en a admis que 152, écartant, conformément à la jurisprudence citée ci-dessus, les opérations qui ne s’inscrivaient pas raisonnablement dans le cadre des tâches du conseil d’office. Alors même que la procédure au fond est décrite comme très conflictuelle et que les activités de l’avocat ont porté sur une longue période, le premier juge a ainsi réduit de plus d’un quart le temps annoncé par le conseil d’office. L'appréciation du premier juge est adéquate et doit être confirmée. Il n’y a en effet pas matière à aller au-delà de cette réduction compte tenu des griefs de la recourante. En ce qui concerne tout d'abord la durée du litige, si l'on peut en effet attendre d'un conseil d'office qu'il tienne son client informé de la durée de la procédure et s'abstienne de la prolonger inutilement, il ne lui incombe en revanche pas de "faire en sorte que la procédure soit la plus courte possible". S'agissant des répercussions de la durée de la procédure sur le montant de l'indemnité du conseil d'office, dès lors que la procédure de première instance a nécessité cinq audiences, une expertise et un complément d'expertise, il est normal que le temps déployé par l’avocat ait été considérable et que les frais judiciaires de la recourante soient importants. Il ne saurait être question non plus de retenir une quelconque disproportion entre le montant de l’indemnité d’office et le résultat du litige, ce dernier s'étant achevé par la conclusion d’une transaction judiciaire, selon les modalités figurant en page 53 et suivante du procès-verbal. Enfin, les affirmations de la recourante au sujet des déclarations de l’expert ne résultent pas du dossier et sont ainsi irrecevables. De toute manière, on ne voit pas en quoi ces déclarations permettraient de remettre en cause le montant de l'indemnité allouée au conseil d'office de la recourante. Le moyen de la recourante doit par conséquent être rejeté.</w:t>
      </w:r>
    </w:p>
    <w:p>
      <w:r>
        <w:rPr>
          <w:b/>
        </w:rPr>
        <w:t>E. 4</w:t>
      </w:r>
    </w:p>
    <w:p>
      <w:r>
        <w:t>En définitive, le recours doit être rejeté en application de l'art. 322 al. 1 CPC et le prononcé confirmé. Les frais judiciaires de deuxième instance, arrêtés à 150 fr. (art. 75 al. 1 TFJC [Tarif des frais judiciaires civils du 28 septembre 2010; RSV 270.11.5] par analogie), sont mis à la charge de la recourante qui succombe (art. 106 al. 1 CPC). Il n'y a pas matière à l'allocation de dépens de deuxième instance, l'intimé n'ayant pas été invité à se déterminer. Par ces motifs, la Chambre des recours civile du Tribunal cantonal, statuant à huis clos, en application de l'art. 322 al. 1 CPC, prononce : I. Le recours est rejeté. II. Le prononcé est confirmé. III. Les frais judiciaires de deuxième instance, par 150 fr. (cent cinquante francs), sont mis à la charge de la recourante M.________. IV. L'arrêt motivé est exécutoire. Le président :               La greffière : Du 20 mars 2012 Le dispositif de l'arrêt qui précède est communiqué par écrit aux intéressés. La greffière : Du L'arrêt qui précède, dont la rédaction a été approuvée à huis clos, est notifié en expédition complète, par l'envoi de photocopies, à : ‑ Mme M.________, ‑ Me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