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243 vom 17. April 2012</w:t>
      </w:r>
    </w:p>
    <w:p>
      <w:r>
        <w:t>VD Tribunal cantonal, 2012-04-17, FR</w:t>
      </w:r>
    </w:p>
    <w:p>
      <w:r>
        <w:rPr>
          <w:b/>
        </w:rPr>
        <w:t xml:space="preserve">Quelle: </w:t>
      </w:r>
      <w:r>
        <w:t>https://mcp.opencaselaw.ch/entscheid/vd_findinfo_HC___2012___243</w:t>
      </w:r>
    </w:p>
    <w:p>
      <w:r>
        <w:t>FR: VD_FINDINFO HC / 2012 / 243 du 17 avril 2012</w:t>
      </w:r>
    </w:p>
    <w:p>
      <w:r>
        <w:t>IT: VD_FINDINFO HC / 2012 / 243 del 17 aprile 2012</w:t>
      </w:r>
    </w:p>
    <w:p>
      <w:pPr>
        <w:pStyle w:val="Heading2"/>
      </w:pPr>
      <w:r>
        <w:t>Regeste</w:t>
      </w:r>
    </w:p>
    <w:p>
      <w:r>
        <w:t>MESURE DE CONTRAINTE{DROIT DES ÉTRANGERS} | 24 al. 1 LVLEtr, 24 al. 2 LVLEtr, 9 LVLEtr</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ordonnant la détention administrative ou l'une des autres mesures en relation avec cette détention telles que mentionnées à l'art. 20 LVLEtr [art. 80 al. 1 LEtr (loi fédérale du 16 décembre 2005 sur les étrangers; RS 142.20]). Il est de la compétence de la Chambre des recours civile (art. 71 et 73 al. 1 LOJV [loi du 12 décembre 1979 d'organisation judiciaire;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Déposé en temps utile par le recourant, qui y a un intérêt, le recours est recevable (art. 30 al. 2 LVLEtr).</w:t>
      </w:r>
    </w:p>
    <w:p>
      <w:r>
        <w:rPr>
          <w:b/>
        </w:rPr>
        <w:t>E. 2</w:t>
      </w:r>
    </w:p>
    <w:p>
      <w:r>
        <w:t>Le juge de paix est l'autorité compétente en vertu des art. 17 et 20 LVLEtr. Il a été saisi d'une requête motivée et documentée du SPOP du 19 mars 2012, a procédé à l'audition du recourant le même jour et a résumé ses déclarations dans ce qu'elles avaient d'utile à retenir (art. 21 al. 1 et 2 LVLEtr). Il a en outre rendu sa décision motivée dans les 96 heures (art. 16 al. 1 LVLEtr). La procédure suivie a ainsi été régulière, ce dont le recourant ne disconvient pas.</w:t>
      </w:r>
    </w:p>
    <w:p>
      <w:r>
        <w:rPr>
          <w:b/>
        </w:rPr>
        <w:t>E. 3</w:t>
      </w:r>
    </w:p>
    <w:p>
      <w:r>
        <w:t>Le recourant ne conteste pas l’existence de motifs justifiant une mesure de contrainte. Il prétend en revanche que cette mesure serait disproportionnée dès lors que rien n’établit que son renvoi pourrait intervenir dans un délai raisonnable, le SPOP n’ayant pas indiqué à quel moment un vol ordinaire ou spécial serait à disposition. Le SPOP a toutefois exposé dans ses déterminations qu’il avait demandé la réservation d’un tel vol par lettre du 2 avril 2012. A défaut d’indications en sens contraire, on peut raisonnablement en déduire que l’exécution du renvoi pourra avoir lieu à bref délai. On ne saurait exiger du premier juge qu’il n’ordonne une mesure de contrainte que dans les seuls cas où la durée de la détention est d’emblée déterminée. Le recourant ne peut au surplus rien déduire de particulier de la Directive 2008/115/CE du Parlement européen et du Conseil du 16 décembre 2008. Il est vrai que ce texte a donné lieu à un arrêté de l’Assemblée fédérale du 18 juin 2010 en vigueur depuis le 1 er janvier 2011 (RO 2010, p. 5925 ss), qui a modifié la LEtr sur certains points. L'art. 15 ch. 5 de cette directive invoqué par le recourant se borne cependant à prévoir que la durée d’une détention en vue de renvoi ne peut pas dépasser six mois. Ce premier moyen du recourant doit être rejeté. Le recourant tire argument de ce qu’il n’a pas été assisté d’un avocat lors de ses auditions par la police puis par le premier juge. Il invoque les règles de la procédure pénale garantissant l’intervention immédiate d’un défenseur. Selon l’art. 24 al. 1 LVLEtr, toute personne qui fait l’objet d’une procédure liée à l’application de cette loi peut se faire assister par un conseil dès l’ouverture de la procédure. Cette règle générale se trouve précisée à l’al. 2 de la même disposition, lequel dispose que la personne détenue peut demander au juge de paix la désignation d’un conseil d’office, ce dont elle est informée oralement dès sa première comparution. Selon la jurisprudence, le fait d’être privé de la faculté d’être assisté d’un conseil à l’audience correspond à un vice d’une certaine gravité mais ne saurait conduire à l’annulation d’une décision ordonnant une mesure de contrainte. En effet, s’agissant d’une procédure d’examen de la détention en vue du renvoi et à défaut de difficultés juridiques ou factuelles particulières, la garantie du droit d’être entendu n’implique pas la désignation d’un conseil d’office (ATF 122 I 276 c. 3b; Hugi Yar, Zwangsmassnahmen im Ausländerrecht, in Uebersax/Rudin/Hugi Yar/Geiser Hrsg, Ausländerrecht, 2 e éd., Bâle 2009, n. 10.41, pp. 443 s.), ce d’autant moins au vu du délai de 24 heures imparti par l’art. 16 al. 1 LVLEtr au juge de paix pour entendre la personne retenue. Dès lors qu’un conseil d’office est désigné et qu’il a la faculté de s’exprimer devant l’instance de recours disposant d’un large pouvoir d’examen en fait et en droit, le vice invoqué peut être considéré comme guéri (CREC II 15 juin 2010/115 c. 3). Ce deuxième moyen doit être rejeté lui aussi. Le recourant se plaint enfin de n’avoir pas été autorisé lors de son arrestation à se rendre chez une amie pour y prendre possession de son téléphone portable, dans lequel se trouvait le numéro de téléphone de sa compagne vivant en France. Il invoque l’art. 9 LVLEtr, selon lequel la personne concernée doit avoir la possibilité de régler ou faire régler au préalable ses affaires personnelles urgentes, quelle que soit la durée probable de la rétention. Le SPOP se borne à répondre à ce sujet que le conseil d’office du recourant « conserve la possibilité d’entreprendre les démarches en vue de joindre l’amie de son mandant en France ». On déduit de cette réponse, comme l’allègue le recourant, qu'il n’a pas été mis en mesure lors de son arrestation puis de sa mise en détention de contacter son amie en France. Il faut pourtant considérer que l’avis de cette détention à donner à un proche constituait une affaire personnelle urgente et que le recourant aurait dû être accompagné à l’endroit où se trouvait son téléphone portable pour l’habiliter à donner cet avis. Ce n’est pas au conseil d’office à effectuer de telles démarches. Le manquement subi par le recourant s’avère cependant minime, puisque rien n’indique qu’il a été privé en détention de la faculté d’écrire à son amie en France. Il ne s’agit en tous les cas pas d'un vice à ce point grave qu'il remette en cause la validité de la décision attaquée. Ce moyen doit donc également être rejeté.</w:t>
      </w:r>
    </w:p>
    <w:p>
      <w:r>
        <w:rPr>
          <w:b/>
        </w:rPr>
        <w:t>E. 4</w:t>
      </w:r>
    </w:p>
    <w:p>
      <w:r>
        <w:t>Il résulte de ce qui précède que le recours doit être rejeté et l'ordonnance attaquée confirmée.</w:t>
      </w:r>
    </w:p>
    <w:p>
      <w:r>
        <w:rPr>
          <w:b/>
        </w:rPr>
        <w:t>E. 5</w:t>
      </w:r>
    </w:p>
    <w:p>
      <w:r>
        <w:t>L'arrêt peut être rendu sans frais.</w:t>
      </w:r>
    </w:p>
    <w:p>
      <w:r>
        <w:rPr>
          <w:b/>
        </w:rPr>
        <w:t>E. 6</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Jérôme Campart a annoncé 7,5 heures de travail, ce qui conduit à fixer une indemnité totale de 1'508 fr., soit 1'350 fr. d'honoraires, plus 108 fr. de TVA, et 50 fr. de débours. Par ces motifs, la Chambre des recours civile du Tribunal cantonal, statuant à huis clos, prononce : I. Le recours est rejeté. II. L'ordonnance est confirmée. III. L'arrêt est rendu sans frais. IV. L'indemnité d'office de Me Jérôme Campart, conseil du recourant G.________, est arrêtée à 1'508 fr. (mille cinq cent huit francs), TVA et débours compris. V. L'arrêt motivé est exécutoire. Le président :               La greffière : Du 18 avril 2012 Le dispositif de l'arrêt qui précède est communiqué par écrit aux intéressés. La greffière : Du L'arrêt qui précède, dont la rédaction a été approuvée à huis clos, est notifié en expédition complète, par l'envoi de photocopies, à : ‑ Me Jérôme Campart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