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242 vom 10. April 2012</w:t>
      </w:r>
    </w:p>
    <w:p>
      <w:r>
        <w:t>VD Tribunal cantonal, 2012-04-10, FR</w:t>
      </w:r>
    </w:p>
    <w:p>
      <w:r>
        <w:rPr>
          <w:b/>
        </w:rPr>
        <w:t xml:space="preserve">Quelle: </w:t>
      </w:r>
      <w:r>
        <w:t>https://mcp.opencaselaw.ch/entscheid/vd_findinfo_HC___2012___242</w:t>
      </w:r>
    </w:p>
    <w:p>
      <w:r>
        <w:t>FR: VD_FINDINFO HC / 2012 / 242 du 10 avril 2012</w:t>
      </w:r>
    </w:p>
    <w:p>
      <w:r>
        <w:t>IT: VD_FINDINFO HC / 2012 / 242 del 10 aprile 2012</w:t>
      </w:r>
    </w:p>
    <w:p>
      <w:pPr>
        <w:pStyle w:val="Heading2"/>
      </w:pPr>
      <w:r>
        <w:t>Regeste</w:t>
      </w:r>
    </w:p>
    <w:p>
      <w:r>
        <w:t>DROIT DE GARDE, RELATIONS PERSONNELLES, AUTORITÉ PARENTALE, OBLIGATION D'ENTRETIEN, RENTE POUR ENFANT, RENTE SIMPLE D'INVALIDITÉ | 176 CC, 273 CC, 274 al. 2 CC, 285 al. 2 CC, 308 al. 1 let. b CPC (CH), 312 al. 1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partiellement non patrimoniales et sur des conclusions patrimoniales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a)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CPC, p. 1266). Les conditions restrictives posées par l’art. 317 CPC pour l’introduction de faits ou moyens de preuve nouveaux s’appliquent de même aux cas régis par la maxime inquisitoire. Une solution plus souple peut être envisagée lorsque la cause est en outre régie par la maxime d’office, par exemple sur la situation des enfants mineurs en droit matrimonial (JT 2011 III 43). b) En l’espèce, les pièces produites en deuxième instance doivent dès lors être admises, dans la mesure où elles peuvent avoir une incidence sur la situation de l’enfant mineur.</w:t>
      </w:r>
    </w:p>
    <w:p>
      <w:r>
        <w:rPr>
          <w:b/>
        </w:rPr>
        <w:t>E. 4</w:t>
      </w:r>
    </w:p>
    <w:p>
      <w:r>
        <w:t>L’appelant soutient tout d’abord que le droit de visite sur sa fille, tel que fixé dans le prononcé, doit être élargi dans l’intérêt de celle-ci et compte tenu du temps dont il dispose pour s’occuper d’elle. a) Lorsque les époux ont des enfants mineurs, le juge règle les relations personnelles entre le parent non gardien et l’enfant, dans le cadre de l’organisation de la vie séparée des conjoints, en se basant sur les dispositions régissant les effets de la filiation (art. 176 al. 3 CC ; art. 273 ss CC). L’art. 273 CC (Code civil suisse du 10 décembre 1907, RS 210), en particulier, prévoit que le parent non détenteur de l’autorité parentale ou de la garde de l’enfant mineur a le droit d’entretenir avec celui-ci, et réciproquement,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du Code civil, Bâle 2010, n. 20 ad art. 176 CC, p. 1240 ; TF 5A_826/2009 du 22 mars 2010 c. 2.1). Pour prendre une telle décision, le juge des mesures protectrices dispose d’un large pouvoir d’appréciation au sens de l’art. 4 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La pratique romande d’octroi d’un droit de visite d'un week-end sur deux est qualifiée de large en doctrine par rapport à celle d'outre Sarine (Audrey Leuba, in Pichonnaz/Foëx (éd.), Commentaire romand, Code civil I, 2010, n° 16 ad art. 273 CC; Meier/Stettler, Droit de la filiation, 4ème éd., Genève, 2009, n° 703). Il faut donc des circonstances particulières pour aller au-delà du droit de visite usuel (Hegnauer, Droit suisse de la filiation, n° 19.16, p. 114; Juge délégué CACI 20 décembre 2011/411 c. 6b). b)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5A_716/2010 du 23 février 2011 c. 4 et réf., FamPra.ch 2011 p. 491; ATF 131 III 209 c. 5; 123 III 445 c. 3b). Le droit aux relations personnelles vise à sauvegarder le lien existant entre parents et enfants (Hegnauer, Droit suisse de la filiation, n. 19.20, p. 116). Le Tribunal fédéral relève à cet égard qu'il est unanimement reconnu que le rapport de l'enfant avec ses deux parents est essentiel et qu'il peut jouer un rôle décisif dans le processus de recherche d'identité de l'enfant (ATF 127 III 295 c. 4a;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c)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 du parent qui n'a pas l'autorité parentale (ATF 122 III 404 c. 3b; TF 5P.33/2001 du 5 juillet 2001 c. 3a). Conformément au principe de proportionnalité, il importe en outre que cette menace ne puisse être écartée par d'autres mesures appropriées (TF 5A_448/2008 du 2 octobre 2008; TF 5P.131/2006 du 25 août 2006, publié in FamPra 2007 p. 167; ATF 131 III 209, JT 2005 I 2002; ATF 118 II 21 c. 3c, JT 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La mise en danger concrète du bien de l’enfant est nécessaire non seulement pour justifier un refus ou un retrait du droit aux relations personnelles, mais aussi pour lui imposer de se soumettre à des modalités particulières, notamment par rapport aux vacances (ATF 122 III 404, JT 1998 I 46; Meier/ Stettler, Droit de la filiation, 4 éd., 2009, n. 700, p. 407, et n. 714 et ss, pp. 417 et ss).</w:t>
      </w:r>
    </w:p>
    <w:p>
      <w:r>
        <w:rPr>
          <w:b/>
        </w:rPr>
        <w:t>E. 5</w:t>
      </w:r>
    </w:p>
    <w:p>
      <w:r>
        <w:t>En l’espèce, le premier juge, usant du large pouvoir d’appréciation qui est le sien et tel qu’il a été rappelé ci-dessus, a accordé un droit de visite limité à un week-end sur deux. Du point de vue de la fréquence des relations personnelles mensuelles, il s’agit du régime ordinaire. Comme exposé ci-dessus, les demandes du recourant tendant à obtenir un droit de visite plus étendu du mardi soir au mercredi soir vont au-delà de ce régime et doivent reposer sur des motifs particuliers. Par contre, en n’accordant aucun droit de visite durant les vacances scolaires de l’enfant, le premier juge a imposé une restriction des relations personnelles qui doit être justifiée par le risque porté au développement de l’enfant. La décision attaquée se réfère, s’agissant de l’examen de la garde, à l’opposition manifestée par l’épouse à une garde alternée, en raison de la consommation de produits stupéfiants de l’appelant. Ce dernier se garde de toute explication ou de toute dénégation à ce sujet dans son appel, alors qu’il prétend présenter les faits de manière « exhaustive ». Il passe sous silence également le fait qu’il a commis des violences conjugales en présence de l’enfant le 2 janvier 2012, épouse et enfant devant trouver refuge chez des voisins. L’appelant a du reste reconnu les faits dans le cadre de la procédure pénale instruite contre lui. Le premier juge était donc fondé à imposer des restrictions au sujet de l’exercice du droit de visite. Autant la consommation de produits stupéfiants de l’appelant, vraisemblable, ce qui est suffisant au stade des mesures provisionnelles, que la propension à commettre des actes de violence en présence de sa fille constituent en l’état de justes motifs de limitation des relations personnelles. S’il entend exercer son droit de visite sur des périodes plus longues, notamment durant les vacances scolaires de sa fille, l’appelant devra fournir des indications précises quant à sa capacité d’accueillir l’enfant de manière adéquate, dans le cadre d’une nouvelle requête qui fera l’objet d’une instruction à ce sujet. Les griefs concernant le droit de visite doivent donc être rejetés.</w:t>
      </w:r>
    </w:p>
    <w:p>
      <w:r>
        <w:rPr>
          <w:b/>
        </w:rPr>
        <w:t>E. 6</w:t>
      </w:r>
    </w:p>
    <w:p>
      <w:r>
        <w:t>L’appel confine ensuite à la témérité sur la question de la contribution d’entretien. L’appelant perçoit une rente invalidité simple pour enfant de 713 fr. par mois destinée à l’entretien de sa fille. Or, selon l’art. 285 al. 2 CC,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notamment, l’art. 35 LAI (loi sur l’assurance-invalidité du 19 juin 1959, RS 831.20). Affectées exclusivement à l’entretien de l’enfant, ces prestations ne sont pas prises en compte dans le calcul du revenu du parent qui les reçoit (TF 5A_207/2009 du 21 octobre 2009 et réf. citées). Si en règle générale, cette rente est versée avec la rente principale destinée au bénéficiaire de l’assurance-invalidité, elle peut être également versée au parent qui assume la garde et l’entretien de l’enfant, les décisions contraires du juge civil étant réservées (art. 35 al. 4 LAI). Dès lors, il ne se justifie pas de réduire la contribution d’entretien allouée à l’enfant B.Z.________ par le premier juge à charge de l’appelant, laquelle correspond précisément à la rente invalidité simple perçue par ce dernier pour sa fille. En outre, lorsque l’appelant fait valoir que le versement de la rente de l’enfant à l’autre parent porterait atteinte à son minimum vital en raison de ses frais pour l’exercice de son droit de visite, il feint d’ignorer que le premier juge lui a laissé la disposition de la rente LPP pour l’enfant, dont le montant couvre largement la somme usuellement admise dans le calcul du minimum vital pour de tels frais. Les griefs relatifs à la contribution d’entretien doivent donc être rejetés.</w:t>
      </w:r>
    </w:p>
    <w:p>
      <w:r>
        <w:rPr>
          <w:b/>
        </w:rPr>
        <w:t>E. 7</w:t>
      </w:r>
    </w:p>
    <w:p>
      <w:r>
        <w:t>Au vu de ce qui précède, l’appel doit être rejeté en vertu de l’art. 312 al. 1 CPC et le prononcé attaqué confirmé.</w:t>
      </w:r>
    </w:p>
    <w:p>
      <w:r>
        <w:rPr>
          <w:b/>
        </w:rPr>
        <w:t>E. 8</w:t>
      </w:r>
    </w:p>
    <w:p>
      <w:r>
        <w:t>Les frais judiciaires de deuxième instance, par 600 fr. (art. 65 al. 2 TFJC [tarif des frais judiciaires civils du 28 septembre 2010, RSV 270.11.5]), sont mis à la charge de l’appelant qui succombe (art. 106 al. 1 CPC). L’intimée n’ayant pas été invitée à se déterminer, il n’y a pas lieu de lui allouer de dépens.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A.Z.________. IV. L’arrêt motivé est exécutoire. Le juge délégué : La greffière : Du</w:t>
      </w:r>
    </w:p>
    <w:p>
      <w:r>
        <w:rPr>
          <w:b/>
        </w:rPr>
        <w:t>E. 11</w:t>
      </w:r>
    </w:p>
    <w:p>
      <w:r>
        <w:t>avril 2012 Le dispositif de l'arrêt qui précède est communiqué par écrit aux intéressés. La greffière : Du L'arrêt qui précède, dont la rédaction a été approuvée à huis clos, est notifié en expédition complète, par l'envoi de photocopies, à : ‑ Me Pascal Rytz (pour A.Z.________), ‑ Me Marguerite Florio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