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2012 / 22 vom 22. Dezember 2011</w:t>
      </w:r>
    </w:p>
    <w:p>
      <w:r>
        <w:t>VD Tribunal cantonal, 2011-12-22, FR</w:t>
      </w:r>
    </w:p>
    <w:p>
      <w:r>
        <w:rPr>
          <w:b/>
        </w:rPr>
        <w:t xml:space="preserve">Quelle: </w:t>
      </w:r>
      <w:r>
        <w:t>https://mcp.opencaselaw.ch/entscheid/vd_findinfo_HC___2012___22</w:t>
      </w:r>
    </w:p>
    <w:p>
      <w:r>
        <w:t>FR: VD_FINDINFO HC / 2012 / 22 du 22 décembre 2011</w:t>
      </w:r>
    </w:p>
    <w:p>
      <w:r>
        <w:t>IT: VD_FINDINFO HC / 2012 / 22 del 22 dicembre 2011</w:t>
      </w:r>
    </w:p>
    <w:p>
      <w:pPr>
        <w:pStyle w:val="Heading2"/>
      </w:pPr>
      <w:r>
        <w:t>Regeste</w:t>
      </w:r>
    </w:p>
    <w:p>
      <w:r>
        <w:t>SALAIRE, LOI FÉDÉRALE SUR L'ÉGALITÉ ENTRE FEMMES ET HOMMES, POUVOIR D'EXAMEN LIMITÉ, EXPERTISE | 343 CO, 12 al. 2 LEg</w:t>
      </w:r>
    </w:p>
    <w:p>
      <w:pPr>
        <w:pStyle w:val="Heading2"/>
      </w:pPr>
      <w:r>
        <w:t>Erwägungen</w:t>
      </w:r>
    </w:p>
    <w:p>
      <w:r>
        <w:rPr>
          <w:b/>
        </w:rPr>
        <w:t>E. 1</w:t>
      </w:r>
    </w:p>
    <w:p>
      <w:r>
        <w:t>La LTF (loi du 17 juin 2005 sur le Tribunal fédéral; RS 173.110) ne connaît pas de disposition équivalente à l'art. 66 al. 1 OJ (loi fédérale d'organisation judiciaire du 16 décembre 1943), aujourd'hui abrogé, qui prévoyait que l'autorité cantonale était tenue de fonder sa nouvelle décision sur les considérants de droit de l'arrêt du Tribunal fédéral. Cette règle demeure toutefois valable sous le nouveau droit (TF 4A_138/2007 du 19 juin 2007 c. 1.5). Elle signifie que le tribunal auquel la cause est renvoyée voit sa cognition limitée par les motifs de l'arrêt de renvoi, en ce sens qu'il est lié par ce qui a été déjà jugé définitivement par le Tribunal fédéral (cf. ATF 133 III 201 c. 4.2; ATF 131 III 91 c. 5.2 et les arrêts cités). La juridiction cantonale n'est libre de sa décision que sur les points qui n'ont pas été tranchés par l'arrêt de renvoi ou dans la mesure où elle se fonde sur des faits complémentaires établis postérieurement à cet arrêt (cf. Poudret, Commentaire sur la loi fédérale d'organisation judiciaire, vol. II, Berne 1990, n. 1.3.2 ad art. 66 OJ p. 598).</w:t>
      </w:r>
    </w:p>
    <w:p>
      <w:r>
        <w:rPr>
          <w:b/>
        </w:rPr>
        <w:t>E. 2</w:t>
      </w:r>
    </w:p>
    <w:p>
      <w:r>
        <w:t>aLEg, à moins que l'expertise apparaisse d'emblée inutile, parce que, par exemple, le juge dispose lui-même des connaissances scientifiques nécessaires pour élucider une possible discrimination liée au sexe (ATF 133 III 545 c. 4; Klett, Richterliche Prüfungspflicht und Beweiserleichterung, AJP 2001 ch. 3 p. 1295; Cossali Sauvain, Egalité entre femmes et hommes Il, FJS 545 ch. V p. 21 in fine ). En l'espèce, si les questions juridiques sont évidemment suffisamment délimitées par l'arrêt du Tribunal fédéral, il n'en va pas de même de la détermination concrète de l'écart salarial. Si l'on peut partir de l'indication donnée par l'instance supérieure selon laquelle l'ancienneté, l'expérience professionnelle et le bilinguisme d'un collègue masculin justifient un écart salarial de 8,5%, il est par contre plus difficile de pondérer cet écart en tenant compte des formations respectives de la recourante et du collègue comparé, notamment en raison de la formation complémentaire en ressources humaines. Pour ces motifs, une expertise est nécessaire. c) Le Tribunal cantonal n'ordonne une instruction complémentaire, ou n'annule d'office le jugement, que s'il éprouve un doute sur le bien-fondé d'une constatation de fait déterminée, s'il constate que l'état de fait du jugement n'est pas suffisant pour juger la cause à nouveau ou s'il relève un manquement des premiers juges à leur devoir d'instruction, et à condition encore que les preuves figurant au dossier ne permettent pas de remédier à ces vices. Au demeurant, vu le caractère exceptionnel que la loi confère à l'instruction complémentaire et compte tenu de l'atteinte que l'ouverture d'une telle instruction porte à la garantie de la double instance, le Tribunal cantonal ne peut ordonner que des mesures d'instruction limitées, telle la production d'une pièce bien déterminée au dossier ou l'audition d'un témoin sur un fait précis; si les mesures à prendre sont plus importantes, quantitativement ou qualitativement, le Tribunal cantonal annulera d'office le jugement (JT 2003 III 3). En l'occurrence, au vu du caractère restreint du pouvoir d'examen de la cour de céans tel qu'exposé ci-dessus, il convient donc de renvoyer le dossier de la cause à l'autorité de première instance pour nouvelle instruction et nouvelle décision dans le sens des considérants de l'arrêt du Tribunal fédéral du 24 août 2011 et du présent arrêt.</w:t>
      </w:r>
    </w:p>
    <w:p>
      <w:r>
        <w:rPr>
          <w:b/>
        </w:rPr>
        <w:t>E. 3</w:t>
      </w:r>
    </w:p>
    <w:p>
      <w:r>
        <w:t>En définitive, le jugement entrepris doit être annulé d'office et la cause renvoyée au Tribunal de prud'hommes de l'arrondissement de Lausanne pour nouvelle instruction et nouvelle décision dans le sens de ce qui précède. S'agissant d'un conflit du travail dont la valeur litigieuse ne dépasse pas 30'000 fr., il n'y a pas lieu de percevoir d'émolument judiciaire (art. 235 aTFJC [tarif du 4 décembre 1984 des frais judiciaires en matière civile, en vigueur jusqu'au 31 décembre 2010]). Obtenant gain de cause au vu de l'issue de la procédure de deuxième instance, la recourante a droit à l'allocation de dépens de deuxième instance, arrêtés à 1'800 fr. (art. 2 al. 1 ch. 33 et art. 3 TAv [tarif du 17 juin 1986 des honoraires d'avocat dus à titre de dépens, en vigueur jusqu'au 31 décembre 2010]). Par ces motifs, la Chambre des recours du Tribunal cantonal, statuant à huis clos, prononce : I. Le jugement est annulé d'office et la cause renvoyée au Tribunal de prud'hommes de l'arrondissement de Lausanne pour nouvelle instruction et nouvelle décision dans le sens des considérants de l'arrêt du Tribunal fédéral du 24 août 2011 et du présent arrêt. II. L'intimée O.________ SA versera à la recourante S.________ la somme de 1'800 fr. (mille huit cents francs) à titre de dépens de deuxième instance. III. L'arrêt est rendu sans frais. IV. L'arrêt motivé est exécutoire. Le président :               Le greffier : Du 22 décembre 2011 Le dispositif de l'arrêt qui précède est communiqué par écrit aux intéressés. Le greffier : Du L'arrêt qui précède, dont la rédaction a été approuvée à huis clos, est notifié en expédition complète, par l'envoi de photocopies, à : ‑ Me Lorraine Ruf (pour S.________), ‑ Me Christian Favre (pour O.________ SA). Cet arrêt est communiqué, par l'envoi de photocopies, à : ‑ Tribunal de prud'hommes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