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218 vom 14. März 2012</w:t>
      </w:r>
    </w:p>
    <w:p>
      <w:r>
        <w:t>VD Tribunal cantonal, 2012-03-14, FR</w:t>
      </w:r>
    </w:p>
    <w:p>
      <w:r>
        <w:rPr>
          <w:b/>
        </w:rPr>
        <w:t xml:space="preserve">Quelle: </w:t>
      </w:r>
      <w:r>
        <w:t>https://mcp.opencaselaw.ch/entscheid/vd_findinfo_HC___2012___218</w:t>
      </w:r>
    </w:p>
    <w:p>
      <w:r>
        <w:t>FR: VD_FINDINFO HC / 2012 / 218 du 14 mars 2012</w:t>
      </w:r>
    </w:p>
    <w:p>
      <w:r>
        <w:t>IT: VD_FINDINFO HC / 2012 / 218 del 14 marzo 2012</w:t>
      </w:r>
    </w:p>
    <w:p>
      <w:pPr>
        <w:pStyle w:val="Heading2"/>
      </w:pPr>
      <w:r>
        <w:t>Regeste</w:t>
      </w:r>
    </w:p>
    <w:p>
      <w:r>
        <w:t>HONORAIRES, MODÉRATION, AVOCAT | 50 LPAv, 51 LPAv</w:t>
      </w:r>
    </w:p>
    <w:p>
      <w:pPr>
        <w:pStyle w:val="Heading2"/>
      </w:pPr>
      <w:r>
        <w:t>Erwägungen</w:t>
      </w:r>
    </w:p>
    <w:p>
      <w:r>
        <w:rPr>
          <w:b/>
        </w:rPr>
        <w:t>E. 1</w:t>
      </w:r>
    </w:p>
    <w:p>
      <w:r>
        <w:t>Selon l'art. 50 LPAv (loi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doit être adressé à la Chambre des recours civile du Tribunal cantonal (art. 73 al. 2 LOJV [loi du 12 septembre 1979 d'organisation judiciaire; RSV 173.01]). Toujours selon l'art. 51 LPAv, le délai de recours est de trente jours dès la notification de la décision et la procédure est fixée par la loi du 28 octobre 2008 sur la procédure administrative (LPA-VD; RSV 173.36). L'art. 79 al. 1 LPA-VD précise que l'acte de recours doit être signé et indiquer les conclusions et motifs du recours (Jomini, Les honoraires et débours de l'avocat vaudois et leur modération, in JT 1982 III 2 ss, spéc. n. 4, p. 4). En l'espèce, le prononcé de modération a été notifié au recourant le 30 janvier 2012 et celui-ci a déposé son acte de recours le 9 février 2012. Interjeté dans les trente jours, signé et sommairement motivé, le recours est par conséquent recevable.</w:t>
      </w:r>
    </w:p>
    <w:p>
      <w:r>
        <w:rPr>
          <w:b/>
        </w:rPr>
        <w:t>E. 2</w:t>
      </w:r>
    </w:p>
    <w:p>
      <w:r>
        <w:t>Aux termes de l'art. 76 LPA-VD, la partie recourante peut invoquer la violation du droit, y compris l'excès ou l'abus du pouvoir d'appréciation (a), la constatation inexacte ou incomplète de faits pertinents (b) et l'inopportunité (c). Le recourant ne peut pas prendre des conclusions qui sortent du cadre fixé par la décision attaquée. Il peut en revanche présenter des allégués et moyens de preuve qui n'ont pas été invoqués jusque là (art. 79 al. 2 LPA-VD). La Chambre des recours civile dispose d'un libre pouvoir d'examen en fait et en droit. En cas d'admission du recours, elle réforme la décision attaquée ou l'annule. S'il y a lieu, elle renvoie l'affaire à l'autorité intimée pour nouvelle décision (art. 90 LPA-VD). En l'espèce, l'état de fait est conforme aux pièces du dossier.</w:t>
      </w:r>
    </w:p>
    <w:p>
      <w:r>
        <w:rPr>
          <w:b/>
        </w:rPr>
        <w:t>E. 3</w:t>
      </w:r>
    </w:p>
    <w:p>
      <w:r>
        <w:t>A.M.________ se borne à formuler des critiques générales, sans remettre en cause ni les opérations indiquées par l’avocat intimé dans ses notes d’honoraires des 25 mars et 9 novembre 2009, ni le temps consacré au mandat. Or, les critiques formulées par le recourant ne sont ni suffisantes ni pertinentes dans le cadre d'une procédure civile ordinaire. En effet, le juge modérateur n'a pas à se prononcer sur la manière dont l'avocat s'est acquitté de son mandat: l'examen d'une violation par ce dernier des obligations de son mandat relève en principe du juge civil ordinaire et le juge modérateur doit se borner à taxer les opérations portées en compte au regard des prestations effectivement fournies par l'avocat (JdT 1990 III 66 c. 2a), ce que rappelle du reste le prononcé attaqué. a) Dans son prononcé, le juge modérateur a examiné et discuté de façon complète les principes légaux posés en matière d'honoraires. On rappellera notamment que, selon l'art. 45 al. 1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(TF 5P_438/2005 du 13 février 2006, c. 3.1).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Jomini, op. cit., nn. 2, 7 et 10, pp. 3 à 6). En cas de contestation, l'avocat devra prouver le temps consacré au mandat et son caractère adéquat. L'avocat supporte le risque d'absence de preuve des heures facturées (art. 8 CC [Code civil suisse du 10 décembre 1907; RS 210]). Le client n'a en principe rien à prouver. La preuve ne résulte pas déjà du fait que l'avocat a fait parvenir une note d'honoraires à son mandant ou que cette note n'a pas été contestée pendant un certain temps (TF P_489/1979 du 12 mars 1980, reproduit in SJ 1981 p. 422, c. 4). Si l'avocat a tenu un décompte détaillé de ses activités, il parviendra à prouver la réalité de la plupart des opérations facturées et à défaut de décompte, il ne peut que s'en prendre à lui-même (TF 4A_212/2008 du 15 juillet 2008; Bohnet/Martenet, Droit de la profession d'avocat, Berne 2009, n° 2962). b) Dans le cas particulier, le premier juge a apprécié de façon circonstanciée et pertinente le détail des opérations indiquées dans les notes d'honoraires litigieuses ainsi que le tarif horaire appliqué, qui est par ailleurs inférieur au tarif moyen applicable. Ces considérations, qui ne sont contestées par le recourant que de manière générale, peuvent être confirmées et il y a lieu de retenir, avec le juge modérateur, que le temps consacré par l'avocat S.________ à l'exécution de son mandat n'est pas excessif. La décision sur modération des notes d'honoraires prise par le premier juge est ainsi adéquate et doit être approuvée.</w:t>
      </w:r>
    </w:p>
    <w:p>
      <w:r>
        <w:rPr>
          <w:b/>
        </w:rPr>
        <w:t>E. 4</w:t>
      </w:r>
    </w:p>
    <w:p>
      <w:r>
        <w:t>En définitive, le recours doit être rejeté dans la mesure de sa recevabilité, et le prononcé confirmé. Les frais judiciaires de deuxième instance, arrêtés à 150 fr. (art. 75 TFJC [tarif du 28 septembre 2010 des frais judiciaires civils; RSV 270.11.5]), sont mis à la charge de A.M.________ qui succombe. Il n'y a pas lieu d'allouer des dépens, dès lors que l'intimé n'a pas été invité à déposer une réponse. Par ces motifs, la Chambre des recours civile du Tribunal cantonal, statuant à huis clos, prononce : I. Le recours est rejeté, dans la mesure où il est recevable. II. Le prononcé est confirmé. III. Les frais judiciaires de deuxième instance, arrêtés à 150 fr. (cent cinquante francs), sont mis à la charge du recourant A.M.________. IV. L'arrêt motivé est exécutoire. Le président :               La greffière : Du 15 mars 2012 Le dispositif de l'arrêt qui précède est communiqué par écrit aux intéressés. La greffière : Du L'arrêt qui précède, dont la rédaction a été approuvée à huis clos, est notifié en expédition complète, par l'envoi de photocopies, à : ‑ M. A.M.________, ‑ Me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