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197 vom 1. Februar 2012</w:t>
      </w:r>
    </w:p>
    <w:p>
      <w:r>
        <w:t>VD Tribunal cantonal, 2012-02-01, FR</w:t>
      </w:r>
    </w:p>
    <w:p>
      <w:r>
        <w:rPr>
          <w:b/>
        </w:rPr>
        <w:t xml:space="preserve">Quelle: </w:t>
      </w:r>
      <w:r>
        <w:t>https://mcp.opencaselaw.ch/entscheid/vd_findinfo_HC___2012___197</w:t>
      </w:r>
    </w:p>
    <w:p>
      <w:r>
        <w:t>FR: VD_FINDINFO HC / 2012 / 197 du 1 février 2012</w:t>
      </w:r>
    </w:p>
    <w:p>
      <w:r>
        <w:t>IT: VD_FINDINFO HC / 2012 / 197 del 1 febbraio 2012</w:t>
      </w:r>
    </w:p>
    <w:p>
      <w:pPr>
        <w:pStyle w:val="Heading2"/>
      </w:pPr>
      <w:r>
        <w:t>Regeste</w:t>
      </w:r>
    </w:p>
    <w:p>
      <w:r>
        <w:t>MAXIME INQUISITOIRE, CONSTATATION DES FAITS, APPRÉCIATION DES PREUVES, CONTRAT DE TRAVAIL | 153 CPC (CH), 234 al. 1 CPC (CH), 247 al. 2 CPC (CH), 59 CPC (CH)</w:t>
      </w:r>
    </w:p>
    <w:p>
      <w:pPr>
        <w:pStyle w:val="Heading2"/>
      </w:pPr>
      <w:r>
        <w:t>Erwägungen</w:t>
      </w:r>
    </w:p>
    <w:p>
      <w:r>
        <w:rPr>
          <w:b/>
        </w:rPr>
        <w:t>E. 1</w:t>
      </w:r>
    </w:p>
    <w:p>
      <w:r>
        <w:t>a) Le jugement a été rendu le 20 décembre 2011, de sorte que les voies de droit sont régies par le CPC, entré en vigueur le 1 er janvier 2011 (art. 405 al. 1 CPC). b) A teneur de l’art. 319 let. a CPC, le recours est recevable contre les décisions finales de première instance qui ne peuvent faire l’objet d’un appel. Tel est le cas en l’espèce, s’agissant d’un jugement rendu dans une affaire patrimoniale en matière de conflit du travail dont la valeur litigieuse est inférieure à 10'000 fr. (cf. art. 308 al. 2 CPC). Le recours, écrit et motivé, doit être introduit auprès de l’autorité de recours dans les trente jours à compter de la notification de la décision motivée (art. 321 al. 1 CPC). Déposé en temps utile par une partie qui y a intérêt,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invoque une violation des art. 59, 153, 234 et 247 CPC. Il soutient que dans la mesure où c'est la maxime inquisitoire sociale (ou atténuée) qui s'applique à la présente cause, le premier juge devait constater qu'il n'avait pas la légitimation passive et conclure à l'irrecevabilité des conclusions de la requête de l'intimé. b) Selon l'art. 247 al. 2 CPC, dans les litiges résultant du contrat de travail dont la valeur litigieuse ne dépasse pas 30'000 fr., le juge établit d'office les faits. Selon la jurisprudence rendue sous l'ancien droit en matière de conflit du travail (art. 343 CO), également applicable à l'aune de l'art. 247 al. 2 CPC, (Tappy, CPC commenté, Bâle 2011, n. 22 ad art. 247 CPC), l'obligation du juge d'établir d'office les faits ne dispense pas les parties d'une collaboration active à la procédure, celles-ci étant tenues de présenter au juge toutes les pièces nécessaires à l'appréciation du litige ( maxime inquisitoire sociale ou atténuée) . Le juge ne doit ainsi pas instruire d'office le litige lorsqu'une partie renonce à expliquer sa position. Il doit en particulier s'assurer que leurs allégations de parties et leurs offres de preuve sont complètes, mais il n'est tenu de le faire que s'il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étant relevé que des exigences plus sévères quant au devoir de collaboration des parties peuvent être attendues de celles qui sont représentées par un avocat (TF 4C.185/2003 du 14 octobre 2003 c. 4.1). Par ailleurs, la maxime inquisitoire laisse le juge libre dans sa manière d'apprécier les preuves et ne lui interdit pas de renoncer à un moyen de preuve par appréciation anticipée des preuves. Au surplus, la maxime inquisitoire n'impose pas au juge d'administrer un genre de preuve déterminé, sous réserve des cas dans lesquels la loi le prévoit expressément (TF 5C.228/2003 du 6 janvier 2004 c. 3.1 et les références citées). Enfin, la maxime inquisitoire sociale ne modifie pas la répartition du fardeau de la preuve (TF 4C.441/2006 du 23 mars 2007 c. 4.3.1). c) En l'espèce, en reprochant au premier juge d'avoir retenu, en se fondant sur les seules déclarations du demandeur, selon lui non étayées par des pièces, qu'il existait une relation contractuelle entre les parties, le recourant critique en réalité l'appréciation des preuves effectuée par le magistrat. Il ressort du certificat de travail produit au dossier que N.________ n'a plus travaillé pour K.________ SA dès le 30 avril 2010. Certes, ce document, daté du mois de décembre 2010, n'est pas signé et correspond à celui que le demandeur a proposé à S.________ par e-mails des 1 er et 10 décembre 2010. Il résulte toutefois de l'e-mail du 24 décembre 2010 que S.________ a adressé en réponse au demandeur que le recourant ne conteste pas la date du terme des rapports de travail figurant sur ledit certificat, mais remet uniquement en cause les circonstances du départ de l'intimé par ces termes : "vous dites que vous avez quitté notre société, à notre connaissance vous ne vous êtes plus présenté sur votre lieu de travail". Sur la base de cet élément, mentionné en complément des faits retenus dans le jugement, on peut sans arbitraire admettre que le 30 avril 2010 correspond à la fin des rapports de travail entre N.________ et K.________ SA, anciennement A.________ SA. Or, la fiche de salaire du 15 décembre 2010 établie par K.________ SA (pièce 1) fait état de commissions qui ont été versées à l'intimé pour un travail effectué en mai 2010. Cela étant, le premier juge pouvait sans arbitraire retenir les explications du demandeur selon lesquelles il avait travaillé pour la raison individuelle X.________ après le 30 avril 2010 (cf. requête du 10 octobre 2011, p. 1 in fine ; lettre du demandeur au premier juge du 26 octobre 2011). D'ailleurs, le fait que les commissions versées pour un travail effectué postérieurement à la fin de la relation contractuelle vienne en déduction de prétentions antérieures à cette date invoquées par K.________ SA atteste d'une étroite dépendance entre cette société et l'entreprise X.________, toutes deux se livrant au surplus à des activités similaires. A cet égard, le fait que le certificat de salaire du 15 décembre 2010 ait été établi sur papier à en-tête de K.________ SA n'est, dans ces circonstances, pas déterminant, comme l'a relevé à juste titre le premier juge, ce d'autant plus que S.________ est à la fois administrateur de K.________ SA avec signature individuelle et titulaire de l'entreprise qu'il exploite sous sa raison individuelle. Partant, contrairement à ce que soutient le recourant, le premier juge ne s'est pas contenté d'hypothèses pour établir l'existence d'une relation contractuelle entre les parties. Au surplus, on rappellera qu'un contrat de travail peut être conclu oralement (art. 320 al. 1 CO), de sorte que le magistrat pouvait se satisfaire des déclarations de l'intimé, corroborées, comme on vient de le voir, par les pièces du dossier. Par conséquent, le premier juge n'a pas violé la maxime inquisitoire sociale. d) De surcroît, on relèvera qu'à défaut de collaboration des parties, le procès peut être clos, car la maxime inquisitoire atténuée sert à favoriser une procédure accessible à des non-juristes, non à suppléer les carences d'une partie négligente ou refusant de s'exprimer (Tappy, op. cit, n. 23 ad art. 247 CPC). Or, en l'occurrence, S.________, d'ailleurs assisté, s'est désintéressé de la procédure; il s'est en effet borné à signaler, par courrier du 8 décembre 2011, qu'il n'était pas concerné par celle-ci et n'a pas comparu à l'audience de jugement. Un défaut de collaboration lui est donc opposable, de sorte qu'il est malvenu de se plaindre du fait que le premier juge n'ait pas instruit plus avant la question de l'existence d'un contrat de travail entre les parties. Par conséquent, le moyen tiré d'une violation de l'art. 247 al. 2 CPC est mal fondé et doit être rejeté. e) S'agissant du grief tiré d'une violation de l'art. 59 CPC, il ne saurait être admis non plus. En effet, dans la mesure où, comme on vient de le voir, le recourant était lié à l'intimé par un contrat de travail, il avait bel et bien la qualité pour défendre. Il en va de même du moyen selon lequel le premier juge aurait appliqué à tort l'art. 234 CPC. Cette disposition contient, à son alinéa 1, la réserve de l'art. 153 CPC sur l'administration des preuves d'office, qui est applicable en matière de conflit du travail (art. 247 al. 2 ch. 2 let b CPC); or, dans un tel cas, il n'y a pas de procédure probatoire allégée lorsque le défendeur fait défaut (Tappy, op. cit., n. 34 ad art. 234 CPC et n. 23 ad art. 246 CPC). En l'occurrence, même si le premier juge s'est peut-être mal exprimé (jugt, p. 6, par. 4), cela ne suffit pas à admettre qu'il ait fait application de l'art. 234 CPC. Le premier juge a acquis la conviction, sur la base des faits allégués et des preuves administrées, qu'il y avait bien une relation contractuelle entre les parties, sans qu'il soit nécessaire de faire administrer d'autres preuves. Ce faisant, il n'a pas contrevenu aux règles de procédure.</w:t>
      </w:r>
    </w:p>
    <w:p>
      <w:r>
        <w:rPr>
          <w:b/>
        </w:rPr>
        <w:t>E. 4</w:t>
      </w:r>
    </w:p>
    <w:p>
      <w:r>
        <w:t>En définitive, le recours doit être rejeté en application de l'art. 322 al. 1 in fine CPC et le jugement confirmé. S'agissant d'un litige en droit du travail dont la valeur litigieuse n'excède pas 30'000 fr., l'arrêt est rendu sans frais judiciaires de deuxième instance (art. 114 let. c CPC). L'intimé n'ayant pas été invité à se déterminer (art. 322 al. 1 in fine CPC), il n'y a pas lieu d'allouer de dépens. Par ces motifs, la Chambre des recours civile du Tribunal cantonal, statuant à huis clos, en application de l'art. 322 al. 1 CPC, prononce : I. Le recours est rejeté. II. Le jugement est confirmé. III. L'arrêt est rendu sans frais. IV. L'arrêt motivé est exécutoire. Le président :               Le greffier : Du 2 février 2012 Le dispositif de l'arrêt qui précède est communiqué par écrit aux intéressés. Le greffier : Du L'arrêt qui précède, dont la rédaction a été approuvée à huis clos, est notifié en expédition complète, par l'envoi de photocopies, à : ‑ Me Charles Munoz (pour X.________, S.________), ‑ M. N.________.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