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 vom 9. Januar 2012</w:t>
      </w:r>
    </w:p>
    <w:p>
      <w:r>
        <w:t>VD Tribunal cantonal, 2012-01-09, FR</w:t>
      </w:r>
    </w:p>
    <w:p>
      <w:r>
        <w:rPr>
          <w:b/>
        </w:rPr>
        <w:t xml:space="preserve">Quelle: </w:t>
      </w:r>
      <w:r>
        <w:t>https://mcp.opencaselaw.ch/entscheid/vd_findinfo_HC___2012___19</w:t>
      </w:r>
    </w:p>
    <w:p>
      <w:r>
        <w:t>FR: VD_FINDINFO HC / 2012 / 19 du 9 janvier 2012</w:t>
      </w:r>
    </w:p>
    <w:p>
      <w:r>
        <w:t>IT: VD_FINDINFO HC / 2012 / 19 del 9 gennaio 2012</w:t>
      </w:r>
    </w:p>
    <w:p>
      <w:pPr>
        <w:pStyle w:val="Heading2"/>
      </w:pPr>
      <w:r>
        <w:t>Regeste</w:t>
      </w:r>
    </w:p>
    <w:p>
      <w:r>
        <w:t>DROIT DE GARDE | 176 al. 3 CC, 308 al. 1 CPC</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francs (art. 308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le présent appel est recevable. L'art. 314 al. 2 CPC énonce que l'appel joint est irrecevable en procédure sommaire. Le prononcé de mesures protectrices de l'union conjugale dont est appel relevant de la procédure sommaire, comme indiqué ci-dessus, l'appel joint de B.________ n'est donc pas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en droit ainsi défini s'applique même si la décision attaquée est de nature provisionnelle (JT 2011 III 43 et les références citées).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w:t>
      </w:r>
    </w:p>
    <w:p>
      <w:r>
        <w:rPr>
          <w:b/>
        </w:rPr>
        <w:t>E. 1.3</w:t>
      </w:r>
    </w:p>
    <w:p>
      <w:r>
        <w:t>La doctrine est divisée sur le point de savoir si la maxime inquisitoire, applicable en mesures protectrices de l'union conjugale (art. 272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nouveaux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15; Hohl, Procédure civile Tomme II, 2 ème éd., n. 2410 p. 437). Les parties peuvent toutefois faire valoir que le juge de première instance a violé la maxime inquisitoire en ne prenant pas en considération certains faits (Hohl, op. 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p. 412; JT 2011 III 43). En l'espèce, pour faire suite aux offres de preuve des parties, il a été procédé à nouveau de l'audition de [...] ainsi qu'à celle de sept témoins concernant les conditions de vie de l'enfant. La question de la recevabilité de la pièce produite par l'intimé – résiliation du bail de l'appelante – peut rester ouverte, dès lors qu'elle est sans incidence sur l'issue du litige. L'appelante a produit le jour de l'audience un bordereau de pièces dont seules les pièces 4, 5 et 7 remplissent les conditions de recevabilité exposées ci-dessus.</w:t>
      </w:r>
    </w:p>
    <w:p>
      <w:r>
        <w:rPr>
          <w:b/>
        </w:rPr>
        <w:t>E. 2.1</w:t>
      </w:r>
    </w:p>
    <w:p>
      <w:r>
        <w:t>L'appelante relève que durant l'union conjugale et après la séparation des époux en 2010, elle s'est toujours occupée de manière prépondérante des enfants. C'est de manière erronée que le père prétend que les parties avaient mis en place un système de garde partagée. En outre, l'intimé est, par périodes, très accaparé par son travail et contrairement à ce qu'il prétend, ses parents ne sont plus en mesure de prendre le relais pour s'occuper des enfants. [...] et [...] pourraient jouir d'une vie sociale plus riche à [...]. L'aîné aurait d'ailleurs clairement exprimé son souhait de vivre auprès de sa mère. Trompé par les indications intentionnellement fallacieuses et sous la pression de son père, il n'aurait pas été en mesure de s'exprimer clairement devant le juge de première instance.</w:t>
      </w:r>
    </w:p>
    <w:p>
      <w:r>
        <w:rPr>
          <w:b/>
        </w:rPr>
        <w:t>E. 2.2</w:t>
      </w:r>
    </w:p>
    <w:p>
      <w:r>
        <w:t>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Le principe fondamental en ce domaine est l'intérêt de l'enfant, celui des parents étant relégué à l'arrière-plan. Ainsi, la préférence doit être donnée à celui des parents, qui, compte tenu de l'ensemble des circonstances, offre la garantie la plus sûre pour qu'en fonction de leur âge les enfants aient le meilleur développement possible du point de vue psychique, moral, intellectuel et social. Ce n'est qu'à partir du moment où le père et la mère offrent une capacité éducative identique, et donc la possibilité de s'occuper personnellement des enfants, qu'intervient le critère de la stabilité locale et familiale. Le Tribunal fédéral a en outre, à plusieurs reprises, souligné qu'en fonction de l'âge de l'enfant et de son développement, il fallait tenir compte d'un désir clair manifesté par ce dernier, s'il apparaît qu'il s'agit d'une ferme résolution de sa part et que ce souhait est le reflet d'une relation étroite avec le parent en question (ATF 122 III 401 c. 3b pp. 402/403; TF 5A_693/2010 du 29.12.2010, FamPra.ch 2011 no 29 p. 494). Dans le cadre d'un recours de droit public, le Tribunal fédéral a estimé qu'il n'était pas arbitraire de tenir compte du fait que l'une des parties se soit principalement occupée des enfants durant la vie commune (TF 5P_103/2004 du 7 juillet 2004). Finalement, c'est selon ces critères que s'apprécient les autres aspects, tels que le principe selon lequel le juge évite en règle générale de séparer des fratries, afin de maintenir les liens d'affection qui les unissent et de conserver les avantages que présente une éducation faite en commun, ou encore, la collaboration d'un des parents avec l'autre dans l'intérêt de l'enfant (TF 5A_94/2010 du 27.05.2010, FamPra.ch 2010 no 58 p. 727).</w:t>
      </w:r>
    </w:p>
    <w:p>
      <w:r>
        <w:rPr>
          <w:b/>
        </w:rPr>
        <w:t>E. 2.3</w:t>
      </w:r>
    </w:p>
    <w:p>
      <w:r>
        <w:t>En l'espèce, comme le retient la décision entreprise, les compétences éducatives des deux parents n'ont pas à être remises en cause. De même, chacun d'eux semble disposer du temps nécessaire à la bonne éducation des enfants, ne devant pas se soumettre à des contraintes horaires strictes dans le cadre de leur activité professionnelle. En tant qu'exploitant d'un domaine essentiellement viticole, l'intimé peut se retrouver très occupé à certaines périodes l'année. En contrepartie, il bénéficie de plus de temps à disposition pour ses enfants à d'autres moments. L'aîné des enfants a clairement exprimé au juge, par deux fois, son souhait de continuer à vivre avec son père. Le fait qu'il aurait déclaré à des tiers, notamment au témoin [...], vouloir rester avec sa maman, montre que l'enfant se trouve vraisemblablement confronté à un conflit de loyauté. Dans ces circonstances, on doit en principe tenir pour probantes les déclarations formulées par l'enfant devant le juge, car elles sont faites dans un lieu neutre et en dehors de toute pression. Les déclarations de [...] doivent néanmoins être relativisées. D'une part, il s'agit bien évidemment de ne pas diviser la fratrie et l'on ne peut sans autre admettre que [...] aurait exprimé le même souhait s'il était en âge de le faire. Considérer que les déclarations faites par [...] sont à elles seules déterminantes reviendrait à lui faire porter la responsabilité du lieu de vie de toute la fratrie, ce qui n'est pas admissible. L'appelante s'est certainement plus occupée de ses enfants pendant qu'ils étaient en bas âge. Il ressort de l'instruction que depuis la séparation, de fait, le système de garde partagée a prévalu. A supposer même que l'intimé ait mis en place ce système pour se voir attribuer la garde dans le cadre des mesures protectrices de l'union conjugale, comme le plaide l'appelante, il n'en demeure pas moins que dans les faits, l'intimé a démontré pouvoir prendre en charge les enfants de manière adéquate et ces derniers ne semblent pas plus attachés à leur mère qu'à leur père. Il ressort en outre des témoignages recueillis par le juge délégué en deuxième instance que les enfants sont très entourés à [...], tant par la famille paternelle que maternelle, qu'ils s'y sentent bien et que leur père leur consacre beaucoup de temps, dès lors qu'il s'est organisé professionnellement pour ne travailler que lorsque les enfants sont à l'école. Ainsi, comme retenu par le premier juge, il sied, dans l'intérêt des enfants, de maintenir le statu quo au stade des mesures protectrices de l'union conjugale. Les enfants pourront alors évoluer auprès de leur père et de leurs grands-parents paternels et maternels, et continuer à fréquenter les mêmes amis, un déménagement à [...] – l'appelante n'a pas contesté s'y être établie et vouloir y accueillir les enfants – représentant manifestement un déracinement.</w:t>
      </w:r>
    </w:p>
    <w:p>
      <w:r>
        <w:rPr>
          <w:b/>
        </w:rPr>
        <w:t>E. 2.4</w:t>
      </w:r>
    </w:p>
    <w:p>
      <w:r>
        <w:t>Il s'ensuit qu'au vu de l'ensemble de ce qui précède, l'appel de P.________ doit être rejeté.</w:t>
      </w:r>
    </w:p>
    <w:p>
      <w:r>
        <w:rPr>
          <w:b/>
        </w:rPr>
        <w:t>E. 3</w:t>
      </w:r>
    </w:p>
    <w:p>
      <w:r>
        <w:t>L'appelante requiert une pension de 8'000 fr. par mois pour son entretien et celui de ses enfants. Elle ne formule aucun grief s'agissant des chiffres retenus par le premier juge, l'augmentation de la pension n'étant justifiée que par l'attribution de la garde des enfants à leur mère. Dès lors que la garde des enfants n'a pas été confiée à l'appelante, il n'y a pas lieu de réexaminer la question de la contribution d'entretien. Il s'ensuit que ce second moyen de l'appelante doit également être rejeté.</w:t>
      </w:r>
    </w:p>
    <w:p>
      <w:r>
        <w:rPr>
          <w:b/>
        </w:rPr>
        <w:t>E. 4</w:t>
      </w:r>
    </w:p>
    <w:p>
      <w:r>
        <w:t>En conclusion, l'appel de P.________ doit être rejeté.</w:t>
      </w:r>
    </w:p>
    <w:p>
      <w:r>
        <w:rPr>
          <w:b/>
        </w:rPr>
        <w:t>E. 5</w:t>
      </w:r>
    </w:p>
    <w:p>
      <w:r>
        <w:t>En matière de mesures protectrices de l'union conjugale, seule la première instance bénéficie de la gratuité. Les frais judiciaires de la procédure d'appel peuvent être mis à la charge d'une partie.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les frais judiciaires de l'appelante, qui succombe, sont arrêtés à 600 fr. (art. 65 al. 3 TFJC [tarif des frais judiciaires civils du 28 septembre 2010; RSV 270.11.5]) et sont laissés à la charge de l'Etat (art. 122 al. 1 let. b CPC). Par prononcé du 22 novembre 2011, l'appelante a obtenu l'assistance judiciaire dans la procédure d'appel. Son conseil doit être rémunéré équitablement pour les opérations nécessaires à l'appel (art. 122 al. 1 let. a CPC et 2 RLAJ [règlement d'exécution de la loi du 24 novembre 1981 sur l'assistance judiciaire en matière civile du 3 juin 1988; RSV 173.81.1]). Vu la liste des opérations et débours pour la procédure d'appel produite par Me Fontana le 4 janvier 2012, une indemnité d'office à hauteur de 1'763 fr. 20 lui est accordée selon le décompte suivant :      1'540 fr. d'honoraires et 123 fr. 20 de TVA au taux 2011 de 8% et 100 fr. de débours (art. 2 al. 4 RAJ [règlement sur l'assistance judiciaire en matière civile du 7 décembre 2010; RSV 211.02.3] et 42 CDPJ [code de droit privé judiciaire vaudois du 12 janvier 2010; RSV 211.02]). Le bénéficiaire de l'assistance judiciaire est, dans la mesure de l'art. 123 CPC, tenu au remboursement des frais judiciaires et de l'indemnité au conseil d'office mise à la charge de l'Etat. Il se justifie enfin de fixer les dépens dus à l'intimé, qui n'a pas produit de liste de frais (art. 105 al. 2 CPC), à 1'500 francs. Par ces motifs, le juge délégué de la Cour d’appel civile du Tribunal cantonal, statuant à huis clos, prononce : I. L’appel est rejeté. II. Le prononcé est confirmé. III. Les frais judiciaires de deuxième instance de l'appelante P.________, arrêtés à 600 fr. (six cents francs), sont laissés à la charge de l'Etat. IV. L'indemnité d'office de Me Véronique Fontana, conseil de l'appelante, est arrêtée à 1'763 fr. 20 (mille sept cent soixante-trois francs et vingt centimes), TVA et débours compris. V. La bénéficiaire de l'assistance judiciaire est, dans la mesure de l'art. 123 CPC, tenue au remboursement des frais judiciaires et de l'indemnité au conseil d'office mis à la charge de l'Etat. VI. L'appelante doit verser à l'intimé B.________ la somme de 1'500 fr. (mille cinq cents francs) à titre de dépens de deuxième instance. VII. L'arrêt est exécutoire. Le juge délégué : Le greffier : Du L'arrêt qui précède, dont la rédaction a été approuvée à huis clos, est notifié à : ‑ Me Véronique Fontana (pour P.________), ‑ Me Alain-Valéry Poitry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