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185 vom 7. März 2012</w:t>
      </w:r>
    </w:p>
    <w:p>
      <w:r>
        <w:t>VD Tribunal cantonal, 2012-03-07, FR</w:t>
      </w:r>
    </w:p>
    <w:p>
      <w:r>
        <w:rPr>
          <w:b/>
        </w:rPr>
        <w:t xml:space="preserve">Quelle: </w:t>
      </w:r>
      <w:r>
        <w:t>https://mcp.opencaselaw.ch/entscheid/vd_findinfo_HC___2012___185</w:t>
      </w:r>
    </w:p>
    <w:p>
      <w:r>
        <w:t>FR: VD_FINDINFO HC / 2012 / 185 du 7 mars 2012</w:t>
      </w:r>
    </w:p>
    <w:p>
      <w:r>
        <w:t>IT: VD_FINDINFO HC / 2012 / 185 del 7 marzo 2012</w:t>
      </w:r>
    </w:p>
    <w:p>
      <w:pPr>
        <w:pStyle w:val="Heading2"/>
      </w:pPr>
      <w:r>
        <w:t>Regeste</w:t>
      </w:r>
    </w:p>
    <w:p>
      <w:r>
        <w:t>AUDITION DE L'ENFANT, DROIT DE GARDE | 176 al. 3 CC, 107 al. 2 LTF, 276 al. 1 CPC (CH), 308 al. 1 let. b CPC (CH), 317 al. 1 CPC (CH)</w:t>
      </w:r>
    </w:p>
    <w:p>
      <w:pPr>
        <w:pStyle w:val="Heading2"/>
      </w:pPr>
      <w:r>
        <w:t>Erwägungen</w:t>
      </w:r>
    </w:p>
    <w:p>
      <w:r>
        <w:rPr>
          <w:b/>
        </w:rPr>
        <w:t>E. 1.1</w:t>
      </w:r>
    </w:p>
    <w:p>
      <w:r>
        <w:t>La loi du 17 juin 2005 sur le Tribunal fédéral (ci-après LTF; RS 173.110) ne connaît pas de disposition expresse équivalente à l'art. 66 al. 1 er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Feuille fédérale [FF] 2001, p. 4143; TF 5A_336/2008 du 28 août 2008, c. 1.3 et les références citées; TF 4A_71/2007 du 19 octobre 2007 c. 2.2; TF 4A_138/2007 du 19 juin 2007 c. 1.5). Le tribunal auquel une affaire est renvoyée voit sa cognition limitée par les motifs de l'arrêt de renvoi, en ce sens qu'il est lié par ce qui a été déjà jugé définitivement par le Tribunal fédéral (ATF 133 III 201 c. 4.2 p. 208; CREC I 12 novembre 2008/514) et par les constatations de fait qui n'ont pas été attaquées devant lui. La juridiction cantonale n'est donc libre que sur les points qui n'ont pas été tranchés par l'arrêt de renvoi ou dans la mesure où elle se fonde sur des faits complémentaires établis postérieurement à cet arrêt (Poudret, Commentaire de la loi fédérale d'organisation judiciaire, vol. II, n. 1.3.2 ad art. aOJ). Les considérants de l'arrêt retournant la cause pour nouvelle décision à l'autorité cantonale lient aussi le Tribunal fédéral et les parties (ATF 133 III 201 c. 4.2; 125 III 421 c. 2a).</w:t>
      </w:r>
    </w:p>
    <w:p>
      <w:r>
        <w:rPr>
          <w:b/>
        </w:rPr>
        <w:t>E. 1.2</w:t>
      </w:r>
    </w:p>
    <w:p>
      <w:r>
        <w:t>Dans son arrêt de renvoi, le Tribunal fédéral s'est abstenu de sanctionner le fait qu'aucune expertise n'avait été ordonnée au sujet des aptitudes de la mère (c. 3). Il a écarté les griefs du père relatifs à la prise en considération de faits nouveaux (c. 4). Il n'y a donc pas lieu de revenir sur ces questions dans le présent arrêt.</w:t>
      </w:r>
    </w:p>
    <w:p>
      <w:r>
        <w:rPr>
          <w:b/>
        </w:rPr>
        <w:t>E. 1.3</w:t>
      </w:r>
    </w:p>
    <w:p>
      <w:r>
        <w:t>L'appelant persiste à requérir la production de pièces. Comme déjà exposé au considérant</w:t>
      </w:r>
    </w:p>
    <w:p>
      <w:r>
        <w:rPr>
          <w:b/>
        </w:rPr>
        <w:t>E. 1.4</w:t>
      </w:r>
    </w:p>
    <w:p>
      <w:r>
        <w:t>L'appelant requiert encore la fixation d'une audience. La situation des parties paraissant claire, comme exposé ci-après, une telle mesure d'instruction ne s'avère pas nécessaire.</w:t>
      </w:r>
    </w:p>
    <w:p>
      <w:r>
        <w:rPr>
          <w:b/>
        </w:rPr>
        <w:t>E. 2</w:t>
      </w:r>
    </w:p>
    <w:p>
      <w:r>
        <w:t>En vertu de l’art. 176 al. 3 CC (Code civil suisse du 10 décembre 1907, RS 210) relatif à l’organisation de la vie séparée, lorsque les époux ont des enfants mineurs, le juge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(Verena Bräm, Zürcher Kommentar, 2 ème éd., nn. 89 et 101 ad art. 176 CC cité in TF 5A_693/2007 du 18 février 2008 ; Chaix, Commentaire romand, Code civil I, Bâle 2010, n. 19 ad art. 176 CC). L'intérêt de l'enfant prime sur toutes les autres considérations en matière d'attribution du droit de garde. En cas de capacités éducatives équivalentes des père et mère, l'enfant est attribué au parent qui présente les meilleures disponibilités pour s'occuper personnellement de lui. En cas de disponibilités équivalentes des parents, la stabilité de la situation pour l'enfant est déterminante. Enfin, lorsque l'enfant est capable d'exprimer clairement sa volonté, celle-ci doit être prise en compte (TF 5A602/2011 du 10 novembre 2011, c. 2.2). En l'espèce, les capacités éducatives des parents paraissent équivalentes. La mère semble plus disponible que le père, dès lors qu'elle travaille à Lausanne à 70% tandis que le père travaille à 80%, en principe à Genève. Elle occupe la maison qui était celle de sa grand-mère au Mont-sur-Lausanne. Les enfants y ont grandi. Ils y bénéficient de stabilité et ont clairement manifesté, lors de leur audition par le juge délégué, leur souhait d'y rester, de sorte que l'attribution de la garde à la mère est adéquate. L'avis du premier juge n'est en conséquence nullement critiquable.</w:t>
      </w:r>
    </w:p>
    <w:p>
      <w:r>
        <w:rPr>
          <w:b/>
        </w:rPr>
        <w:t>E. 3</w:t>
      </w:r>
    </w:p>
    <w:p>
      <w:r>
        <w:t>En conclusion, l’appel doit être rejeté en application de l’art. 312 al. 1 CPC et l’ordonnance confirmée. Les frais judiciaires de deuxième instance à la charge de l’appelant sont arrêtés à 600 fr. (art. 65 al. 2 TFJC ; tarif des frais judiciaires en matière civile du 28 septembre 2010 ; RSV 270.11.5). L'intimée a droit à des dépens de deuxième instance, arrêtés à 300 francs.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W.________. IV. L'appelant doit verser à l'intimée C.________ la somme de 300 fr. (trois cents francs) à titre de dépens de deuxième instance. V. L’arrêt motivé est exécutoire. Le juge délégué : Le greffier : Du L'arrêt qui précède, dont la rédaction a été approuvée à huis clos, est notifié en expédition complète, par l'envoi de photocopies, à : ‑ Me Philippe Chaulmontet (pour W.________) ‑ Me Marguerite Florio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