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179 vom 31. Januar 2012</w:t>
      </w:r>
    </w:p>
    <w:p>
      <w:r>
        <w:t>VD Tribunal cantonal, 2012-01-31, FR</w:t>
      </w:r>
    </w:p>
    <w:p>
      <w:r>
        <w:rPr>
          <w:b/>
        </w:rPr>
        <w:t xml:space="preserve">Quelle: </w:t>
      </w:r>
      <w:r>
        <w:t>https://mcp.opencaselaw.ch/entscheid/vd_findinfo_HC___2012___179</w:t>
      </w:r>
    </w:p>
    <w:p>
      <w:r>
        <w:t>FR: VD_FINDINFO HC / 2012 / 179 du 31 janvier 2012</w:t>
      </w:r>
    </w:p>
    <w:p>
      <w:r>
        <w:t>IT: VD_FINDINFO HC / 2012 / 179 del 31 gennaio 2012</w:t>
      </w:r>
    </w:p>
    <w:p>
      <w:pPr>
        <w:pStyle w:val="Heading2"/>
      </w:pPr>
      <w:r>
        <w:t>Regeste</w:t>
      </w:r>
    </w:p>
    <w:p>
      <w:r>
        <w:t>MODÉRATION, HONORAIRES CALCULÉS EN FONCTION DU RÉSULTAT POSITIF, AVOCAT, HONORAIRES, FRAIS JUDICIAIRES, DÉPENS | 45 al. 1 LPAv, 48 LPA-VD, 49 LPA-VD, 55 LPA-VD</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doit être adressé la Chambre des recours civile (art. 73 al. 2 LOJV). Le délai de recours est de trente jours et la procédure régie par la LPA-VD (loi du 28 octobre 2008 sur la procédure administrative; RSV 173.36) (art. 51 LPAv). L'art. 79 LPA-VD, précise que l'acte de recours doit être signé et indiquer les conclusions et motifs du recours (Jomini, Les honoraires et débours de l'avocat et leur modération, in JT 1982 III 2 ss, spéc. n. 4, p. 4). En l'espèce, le prononcé attaqué a été notifié au recourant le 4 novembre 2011. Interjeté le 5 décembre 2011, soit dans le trente jours, signé et motivé,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Le recourant fait valoir que l'intimé a gagné presque entièrement son procès et que tant celui-ci que les mandats annexes étaient complexes, car relevant du domaine du courtage financier international. Il relève que, compte tenu des dépens alloués, le solde de la note d'honoraires s'élèverait à 22'000 fr. pour un gain de près de 400'000 fr., qu'il est un avocat d'expérience, en particulier dans le domaine du droit du travail, et que la jurisprudence admet une majoration des honoraires en fonction du résultat obtenu, même en l'absence de pactum de palmario.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TF 4P.342/2006 du 5 mars 2007 c. 4.1 et les références citées). Le critère du résultat obtenu doit permettre une compensation entre les affaires compliquées et peu rémunératrices, parce qu'elles portent sur des sommes modiques, d'une part, et les affaires plus faciles qui procurent au client une satisfaction appréciable et rapide d'autre part. Toutefois ce facteur n'est pas déterminant à lui seul (Jomini, op. cit., n. 1 p. 3). Ce critère est en outre quelque peu ambigu, car il pourrait donner à penser qu'il y a une appréciation de la manière dont l'avocat a exécuté son mandat alors que le juge modérateur n'a pas la compétence de procéder à une telle appréciation (cf. JT 1999 III 66 c. 2a; CREC II 8 octobre 2009/198 c. 3). Ce critère doit en conséquence être considéré comme tout à fait subsidiaire et ne devrait d'appliquer que quand le résultat présente un aspect particulier, exceptionnel dans un sens ou dans l'autre. Il devrait permettre une correction du prix de l'heure, mais en aucun cas une adaptation des honoraires en proportion avec le résultat (CMOD 1 er juin 1999/9 c. 2b). Le Tribunal fédéral a considéré, dans le cas du recouvrement d'un montant de 90'000'000 fr., qu'à défaut de convention sur le montant des honoraires ou sur la manière de les calculer et lorsque le droit cantonal posant les principes généraux de rémunération, ainsi que les us et coutumes de l'ordre des avocats prescrivaient de tenir compte du résultat dans le calcul des honoraires, une majoration de ceux-ci était admissible, même sans conclusion d'un pactum de palmario (ATF 135 III 259 c. 2.3 et 2.4). En l'espèce, la valeur litigieuse de 500'000 fr. n'apparaît pas extraordinaire pour un procès ouvert devant la Cour civile. Elle se distingue du cas traité à l'ATF 135 III 259 en ce sens qu'elle est inférieure à la limite de couverture usuelle de l'assurance de responsabilité civile de l'avocat, ce qui est de nature à générer moins d'insécurité pour celui-ci. Le litige portait sur la résiliation avec effet immédiat du contrat de travail de l'intimé. Les questions juridiques étaient donc simples. L'intimé n'a en outre pas obtenu l'entier de ses conclusions. Au vu des ces éléments, il y a lieu de considérer que le résultat obtenu ne présente pas un aspect particulier et exceptionnel au sens de la jurisprudence susmentionnée justifiant de majorer le tarif horaire de 350 fr. annoncé par le recourant. Le recours doit être rejeté sur ce point.</w:t>
      </w:r>
    </w:p>
    <w:p>
      <w:r>
        <w:rPr>
          <w:b/>
        </w:rPr>
        <w:t>E. 4</w:t>
      </w:r>
    </w:p>
    <w:p>
      <w:r>
        <w:t>Le recourant fait grief au premier juge de n'avoir pas ajouté la TVA au tarif horaire appliqué de 350 francs. Selon la jurisprudence, le tarif horaire annoncé s'entend TVA non comprise (CREC II 18 février 2011/27 c. 3b; CREC II 16 janvier 2010/84 c. 3c/dd). En l'espèce, le dispositif du prononcé attaqué indique que les honoraires arrêtés comprennent la TVA. Il ressort toutefois des considérants que celle-ci n'a pas été ajoutée. Au taux de 7,6 % applicable pour la période durant laquelle les opérations en cause ont été accomplies, il convient d'ajouter au montant de 38'864 fr., la somme de 2'953 fr. 65 (38'864 x 7,6 %), soit une indemnité totale de 41'817 fr. 65. Le recours doit être admis sur ce point.</w:t>
      </w:r>
    </w:p>
    <w:p>
      <w:r>
        <w:rPr>
          <w:b/>
        </w:rPr>
        <w:t>E. 5</w:t>
      </w:r>
    </w:p>
    <w:p>
      <w:r>
        <w:t>Le recourant conclut à l'annulation des dépens mis à sa charge. Selon l'art. 48 LPA-VD, en procédure administrative, les frais sont en principe mis à la charge de la partie qui requiert ou provoque la décision de l'autorité. Le principe selon lequel la partie qui succombe supporte la charge des frais ne vaut que pour la procédure de recours (art. 49 LPA-VD). De même, l'allocation de dépens n'est prévue que pour la procédure de recours ou de révision (art. 55 LPA-VD). Au vu de cette réglementation, les frais de modération ont été à juste titre mis à la charge de l'intimé, qui l'avait requise. Toutefois, aucuns dépens de première instance ne pouvaient être mis à la charge de l'intimé. Le recours doit être admis sur ce point.</w:t>
      </w:r>
    </w:p>
    <w:p>
      <w:r>
        <w:rPr>
          <w:b/>
        </w:rPr>
        <w:t>E. 6</w:t>
      </w:r>
    </w:p>
    <w:p>
      <w:r>
        <w:t>En conclusion le recours doit être admis partiellement et le prononcé réformé en ce sens que la note d'honoraires en cause est modérée à 41'817 fr. 65 et qu'il n'est pas alloué de dépens de première instance. Les frais judiciaires de deuxième instance, arrêtés à 161 fr. (art. 75 TFJC [tarif du 28 septembre 2010 des frais judiciaires civils; RSV 270.11.5]), sont, vu l'issue du recours, mis à la charge du recourant, par 107 fr., et par 54 fr. à la charge de l'intimé (art. 49 al. 1 et 51 al. 1 LPA-VD), qui en doit le remboursement au recourant, qui les a avancés. Obtenant dans une plus grande mesure gain de cause, l'intimé a droit à des dépens réduits de deuxième instance, fixés à 1'200 fr. (art. 55 LPA-VD). Par ces motifs, la Chambre des recours civile du Tribunal cantonal, statuant à huis clos, prononce : I. Le recours est partiellement admis. II. Le prononcé est réformé aux chiffres I et III de son dispositif comme il suit : I. Modère la note d'honoraires et débours finale établie le 10 juin 2010 par l'intimé P.________ à l'attention du requérant C.________ à la somme de 41'817 fr. 65 (quarante et un mille huit cent dix-sept francs et soixante-cinq centimes), TVA comprise, sous déduction de montants versés à concurrence de 32'125 fr. (trente-deux mille cent vingt-cinq francs). III. Supprimé. Le prononcé est confirmé pour le surplus. III. Les frais de deuxième instance sont mis à la charge du recourant P.________, par 107 fr. (cent sept francs) et à la charge de l'intimé C.________, par 54 fr. (cinquante quatre francs), montant que l'intimé remboursera au recourant qui les a avancés. IV. Le recourant P.________ doit verser à l'intimé C.________ la somme de 1'200 fr. (mille deux cents francs) à titre de dépens réduits de deuxième instance. V. L'arrêt motivé est exécutoire. Le président :               Le greffier : Du 31 janvier 2012 Le dispositif de l'arrêt qui précède est communiqué par écrit aux intéressés. Le greffier : Du L'arrêt qui précède, dont la rédaction a été approuvée à huis clos, est notifié en expédition complète, par l'envoi de photocopies, à : ‑ Me P.________, ‑ Me Juliette Perrin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