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172 vom 23. Februar 2012</w:t>
      </w:r>
    </w:p>
    <w:p>
      <w:r>
        <w:t>VD Tribunal cantonal, 2012-02-23, FR</w:t>
      </w:r>
    </w:p>
    <w:p>
      <w:r>
        <w:rPr>
          <w:b/>
        </w:rPr>
        <w:t xml:space="preserve">Quelle: </w:t>
      </w:r>
      <w:r>
        <w:t>https://mcp.opencaselaw.ch/entscheid/vd_findinfo_HC___2012___172</w:t>
      </w:r>
    </w:p>
    <w:p>
      <w:r>
        <w:t>FR: VD_FINDINFO HC / 2012 / 172 du 23 février 2012</w:t>
      </w:r>
    </w:p>
    <w:p>
      <w:r>
        <w:t>IT: VD_FINDINFO HC / 2012 / 172 del 23 febbraio 2012</w:t>
      </w:r>
    </w:p>
    <w:p>
      <w:pPr>
        <w:pStyle w:val="Heading2"/>
      </w:pPr>
      <w:r>
        <w:t>Regeste</w:t>
      </w:r>
    </w:p>
    <w:p>
      <w:r>
        <w:t>DÉCISION D'IRRECEVABILITÉ, ADMINISTRATION DES PREUVES | 319 let. b ch. 2 CPC (CH)</w:t>
      </w:r>
    </w:p>
    <w:p>
      <w:pPr>
        <w:pStyle w:val="Heading2"/>
      </w:pPr>
      <w:r>
        <w:t>Erwägungen</w:t>
      </w:r>
    </w:p>
    <w:p>
      <w:r>
        <w:rPr>
          <w:b/>
        </w:rPr>
        <w:t>E. 1</w:t>
      </w:r>
    </w:p>
    <w:p>
      <w:r>
        <w:t>Le jugement attaqué a été rendu le 13 janvier 2012, de sorte que les voies de droit sont régies par le CPC (Code de procédure civile suisse du 19 décembre 2008, RS 272), entré en vigueur le 1 er janvier 2011 (art. 405 al. 1 CPC). Il en va ainsi même si le jugement attaqué est une décision incidente (ATF 137 III 424 c. 2.3.2).</w:t>
      </w:r>
    </w:p>
    <w:p>
      <w:r>
        <w:rPr>
          <w:b/>
        </w:rPr>
        <w:t>E. 2</w:t>
      </w:r>
    </w:p>
    <w:p>
      <w:r>
        <w:t>a) A teneur de l’art. 319 let. b ch. 2 CPC, le recours est recevable contre les ordonnances d’instruction de première instance lorsqu’elles peuvent causer un « préjudice difficilement réparable ». Cette notion est plus large que celle de « dommage irréparable » au sens de l’art. 93 al. 1 let. a LTF (Loi du 17 juin 2005 sur le Tribunal fédéral, RS 173.110), puisqu’elle vise non seulement un inconvénient de nature juridique mais aussi les désavantages de fait, qui peuvent être de nature financière ou temporelle, pourvu qu’ils soient difficilement réparables (JT 2011 III 86 c. 3 ; Jeandin, in CPC commenté, Bâle 2011, n. 23 ad art. 319 CPC ; Hohl, Procédure civile, tome II, 2 e éd., Berne 2010, n. 2485 p. 449). La Chambre de céans a notamment considéré que n’était pas susceptible de causer un dommage difficilement réparable le refus de retrancher du dossier un rapport d’expertise (CREC 23 septembre 2011/173), le refus de joindre des causes (CREC 18 janvier 2012/19) ou encore le refus de transmettre des pièces à l’expert (CREC 26 septembre 2011/174). b) En l’espèce, la recourante se plaint de ce que le juge instructeur a accepté la production par l’intimée de copies de factures de médicaments, comportant certes le nom des patients caviardé, mais laissant apparaître à ses dires le numéro d’assuré de ceux-ci, leur adresse, le nom de leur médecin traitant, le traitement prescrit et la date dudit traitement. Selon la recourante, une telle production constituerait une violation du secret professionnel du pharmacien et aurait dès lors dû être refusée par le premier juge ; la décision contraire serait susceptible de lui causer un dommage difficilement réparable puisqu’elle la contraindrait à attendre qu’une décision finale soit rendue pour recourir au Tribunal fédéral et se plaindre d’une administration de preuves contraire à la loi. Le seul fait que la recourante ne puisse se plaindre d’une administration des preuves contraire à la loi qu’à l’occasion d’un recours sur le fond n’est manifestement pas suffisant pour retenir que la décision attaquée est susceptible de lui causer un préjudice difficilement réparable. Admettre le contraire reviendrait en effet à permettre à un plaideur de contester immédiatement toute mesure d’instruction pouvant avoir un effet sur le sort de la cause, ce que le législateur a précisément voulu éviter. Il en découle que, faute de préjudice difficilement réparable au sens de l'art. 319 let. b ch. 2 CPC, le recours doit être déclaré irrecevable. Cela étant, on relèvera qu’à supposer qu’il ait été recevable, le recours aurait de toute manière dû être rejeté. Il n’est certes pas exclu que la production dans un procès des factures d’un pharmacien, comportant le nom de ses clients, puisse constituer une violation du secret professionnel de celui-ci ; dans une telle situation, il appartiendrait par conséquent au juge civil d’effectuer une pesée entre l’intérêt public à la sauvegarde du secret professionnel et l’intérêt du plaideur à apporter des preuves en violation dudit secret (cf. TF 5P.308/1999 du 17 février 2000 c. 4a). La question peut toutefois demeurer indécise puisque, comme retenu par le premier juge, le caviardage des pièces produites ne permet pas de connaître d’emblée l’identité des clients du pharmacien. Que, par des recoupements, il soit possible, pour certaines factures, de déterminer le nom du client ne permet pas d’admettre l’existence d’une violation du secret professionnel du pharmacien, ce d’autant moins que les actes du procès ne sont pas publiés. Rien n’empêchait dès lors le premier juge d’accueillir la production litigieuse.</w:t>
      </w:r>
    </w:p>
    <w:p>
      <w:r>
        <w:rPr>
          <w:b/>
        </w:rPr>
        <w:t>E. 3</w:t>
      </w:r>
    </w:p>
    <w:p>
      <w:r>
        <w:t>En définitive, le recours doit être déclaré irrecevable. Les frais judiciaires de deuxième instance, arrêtés à 1’000 fr. (art. 70 al. 2 TFJC [Tarif du 28 septembre 2010 des frais judiciaires civils, RSV 270.11.5]), sont mis à la charge de la recourante qui succombe (art. 106 al. 1 CPC). Il n’y a pas matière à l’allocation de dépens de deuxième instance, l’intimée n’ayant pas été invitée à se déterminer. Par ces motifs, la Chambre des recours civile du Tribunal cantonal, statuant à huis clos, en application de l'art. 322 al. 1 CPC, prononce : I. Le recours est irrecevable. II. Les frais judiciaires de deuxième instance, arrêtés à 1'000 fr. (mille francs), sont mis à la charge de la recourante A.________. III. L’arrêt motivé est exécutoire. Le président : Le greffier : Du 27 février 2012 Le dispositif de l'arrêt qui précède est communiqué par écrit aux intéressés. Le greffier : Du L'arrêt qui précède, dont la rédaction a été approuvée à huis clos, est notifié en expédition complète, par l'envoi de photocopies, à : ‑ Me Bernard Katz (pour A.________) ‑ Me Luke H. Gillon (pour B.________ SA) La Chambre des recours civile considère que la valeur litigieuse est de 256'921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